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B2AC4">
      <w:pPr>
        <w:framePr w:hSpace="180" w:vSpace="180" w:wrap="around" w:vAnchor="margin" w:hAnchor="margin" w:y="1" w:anchorLock="1"/>
        <w:widowControl w:val="0"/>
        <w:ind w:firstLine="0" w:firstLineChars="0"/>
        <w:jc w:val="left"/>
        <w:textAlignment w:val="center"/>
        <w:rPr>
          <w:rFonts w:asciiTheme="minorEastAsia" w:hAnsiTheme="minorEastAsia" w:eastAsiaTheme="minorEastAsia" w:cstheme="minorEastAsia"/>
          <w:szCs w:val="21"/>
        </w:rPr>
      </w:pPr>
      <w:bookmarkStart w:id="0" w:name="_Toc22558676"/>
      <w:bookmarkStart w:id="1" w:name="_Toc18046239"/>
      <w:r>
        <w:rPr>
          <w:rFonts w:hint="eastAsia"/>
        </w:rPr>
        <w:fldChar w:fldCharType="begin"/>
      </w:r>
      <w:r>
        <w:rPr>
          <w:rFonts w:hint="eastAsia"/>
        </w:rPr>
        <w:instrText xml:space="preserve"> MACROBUTTON MTEditEquationSection2 </w:instrText>
      </w:r>
      <w:r>
        <w:rPr>
          <w:rStyle w:val="23"/>
          <w:rFonts w:hint="eastAsia"/>
        </w:rPr>
        <w:instrText xml:space="preserve">公式章 1 节 1</w:instrText>
      </w:r>
      <w:r>
        <w:rPr>
          <w:rFonts w:hint="eastAsia"/>
        </w:rPr>
        <w:fldChar w:fldCharType="begin"/>
      </w:r>
      <w:r>
        <w:rPr>
          <w:rFonts w:hint="eastAsia"/>
        </w:rPr>
        <w:instrText xml:space="preserve"> SEQ MTEqn \r \h \* MERGEFORMAT </w:instrText>
      </w:r>
      <w:r>
        <w:rPr>
          <w:rFonts w:hint="eastAsia"/>
        </w:rPr>
        <w:fldChar w:fldCharType="end"/>
      </w:r>
      <w:r>
        <w:rPr>
          <w:rFonts w:hint="eastAsia"/>
        </w:rPr>
        <w:fldChar w:fldCharType="begin"/>
      </w:r>
      <w:r>
        <w:rPr>
          <w:rFonts w:hint="eastAsia"/>
        </w:rPr>
        <w:instrText xml:space="preserve"> SEQ MTSec \r 1 \h \* MERGEFORMAT </w:instrText>
      </w:r>
      <w:r>
        <w:rPr>
          <w:rFonts w:hint="eastAsia"/>
        </w:rPr>
        <w:fldChar w:fldCharType="end"/>
      </w:r>
      <w:r>
        <w:rPr>
          <w:rFonts w:hint="eastAsia"/>
        </w:rPr>
        <w:fldChar w:fldCharType="begin"/>
      </w:r>
      <w:r>
        <w:rPr>
          <w:rFonts w:hint="eastAsia"/>
        </w:rPr>
        <w:instrText xml:space="preserve"> SEQ MTChap \r 1 \h \* MERGEFORMAT </w:instrText>
      </w:r>
      <w:r>
        <w:rPr>
          <w:rFonts w:hint="eastAsia"/>
        </w:rPr>
        <w:fldChar w:fldCharType="end"/>
      </w:r>
      <w:r>
        <w:rPr>
          <w:rFonts w:hint="eastAsia"/>
        </w:rPr>
        <w:fldChar w:fldCharType="end"/>
      </w:r>
      <w:bookmarkEnd w:id="0"/>
      <w:bookmarkEnd w:id="1"/>
      <w:r>
        <w:rPr>
          <w:rFonts w:hint="eastAsia" w:asciiTheme="minorEastAsia" w:hAnsiTheme="minorEastAsia" w:eastAsiaTheme="minorEastAsia" w:cstheme="minorEastAsia"/>
          <w:szCs w:val="21"/>
        </w:rPr>
        <w:t xml:space="preserve"> ICS</w:t>
      </w:r>
      <w:r>
        <w:rPr>
          <w:rFonts w:hint="eastAsia" w:asciiTheme="minorEastAsia" w:hAnsiTheme="minorEastAsia" w:eastAsiaTheme="minorEastAsia" w:cstheme="minorEastAsia"/>
          <w:szCs w:val="21"/>
          <w:lang w:val="en-US" w:eastAsia="zh-CN"/>
        </w:rPr>
        <w:t xml:space="preserve"> 17.040.30</w:t>
      </w:r>
    </w:p>
    <w:p w14:paraId="34C5F2C3">
      <w:pPr>
        <w:framePr w:hSpace="180" w:vSpace="180" w:wrap="around" w:vAnchor="margin" w:hAnchor="margin" w:y="1" w:anchorLock="1"/>
        <w:widowControl w:val="0"/>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TB921</w:t>
      </w:r>
    </w:p>
    <w:tbl>
      <w:tblPr>
        <w:tblStyle w:val="14"/>
        <w:tblW w:w="9854" w:type="dxa"/>
        <w:tblInd w:w="0" w:type="dxa"/>
        <w:tblLayout w:type="fixed"/>
        <w:tblCellMar>
          <w:top w:w="0" w:type="dxa"/>
          <w:left w:w="108" w:type="dxa"/>
          <w:bottom w:w="0" w:type="dxa"/>
          <w:right w:w="108" w:type="dxa"/>
        </w:tblCellMar>
      </w:tblPr>
      <w:tblGrid>
        <w:gridCol w:w="9854"/>
      </w:tblGrid>
      <w:tr w14:paraId="64F432B1">
        <w:tblPrEx>
          <w:tblCellMar>
            <w:top w:w="0" w:type="dxa"/>
            <w:left w:w="108" w:type="dxa"/>
            <w:bottom w:w="0" w:type="dxa"/>
            <w:right w:w="108" w:type="dxa"/>
          </w:tblCellMar>
        </w:tblPrEx>
        <w:tc>
          <w:tcPr>
            <w:tcW w:w="9854" w:type="dxa"/>
            <w:tcBorders>
              <w:top w:val="nil"/>
              <w:left w:val="nil"/>
              <w:bottom w:val="nil"/>
              <w:right w:val="nil"/>
            </w:tcBorders>
          </w:tcPr>
          <w:p w14:paraId="20FC486B">
            <w:pPr>
              <w:framePr w:hSpace="180" w:vSpace="180" w:wrap="around" w:vAnchor="margin" w:hAnchor="margin" w:y="1" w:anchorLock="1"/>
              <w:widowControl w:val="0"/>
              <w:tabs>
                <w:tab w:val="center" w:pos="4201"/>
                <w:tab w:val="right" w:leader="dot" w:pos="9298"/>
              </w:tabs>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z0S6vpQEAAFkDAAAO&#10;AAAAAAAAAAEAIAAAACQBAABkcnMvZTJvRG9jLnhtbFBLBQYAAAAABgAGAFkBAAA7BQAAAAA=&#10;">
                      <v:fill on="t" focussize="0,0"/>
                      <v:stroke on="f"/>
                      <v:imagedata o:title=""/>
                      <o:lock v:ext="edit" aspectratio="f"/>
                    </v:rect>
                  </w:pict>
                </mc:Fallback>
              </mc:AlternateContent>
            </w:r>
          </w:p>
        </w:tc>
      </w:tr>
    </w:tbl>
    <w:p w14:paraId="2D7029C9">
      <w:pPr>
        <w:framePr w:w="3997" w:h="471" w:hRule="exact" w:vSpace="181" w:wrap="around" w:vAnchor="page" w:hAnchor="page" w:x="1419" w:y="14097" w:anchorLock="1"/>
        <w:ind w:firstLine="0" w:firstLineChars="0"/>
        <w:jc w:val="left"/>
        <w:rPr>
          <w:rFonts w:asciiTheme="minorEastAsia" w:hAnsiTheme="minorEastAsia" w:eastAsiaTheme="minorEastAsia" w:cstheme="minorEastAsia"/>
          <w:sz w:val="28"/>
        </w:rPr>
      </w:pPr>
      <w:r>
        <w:rPr>
          <w:rFonts w:hint="eastAsia" w:ascii="黑体" w:hAnsi="黑体" w:eastAsia="黑体" w:cs="黑体"/>
          <w:sz w:val="28"/>
        </w:rPr>
        <w:t>2026-XX-XX发布</w:t>
      </w:r>
      <w:r>
        <w:rPr>
          <w:rFonts w:hint="eastAsia" w:asciiTheme="minorEastAsia" w:hAnsiTheme="minorEastAsia" w:eastAsiaTheme="minorEastAsia" w:cstheme="minorEastAsia"/>
          <w:sz w:val="28"/>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7"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h2s81gAAAAsBAAAPAAAA&#10;AAAAAAEAIAAAACIAAABkcnMvZG93bnJldi54bWxQSwECFAAUAAAACACHTuJAWDBUtN4BAADQAwAA&#10;DgAAAAAAAAABACAAAAAlAQAAZHJzL2Uyb0RvYy54bWxQSwUGAAAAAAYABgBZAQAAdQUAAAAA&#10;">
                <v:fill on="f" focussize="0,0"/>
                <v:stroke color="#000000" joinstyle="round"/>
                <v:imagedata o:title=""/>
                <o:lock v:ext="edit" aspectratio="f"/>
                <w10:anchorlock/>
              </v:line>
            </w:pict>
          </mc:Fallback>
        </mc:AlternateContent>
      </w:r>
    </w:p>
    <w:p w14:paraId="30F98B02">
      <w:pPr>
        <w:framePr w:w="3997" w:h="471" w:hRule="exact" w:vSpace="181" w:wrap="around" w:vAnchor="page" w:hAnchor="page" w:x="7089" w:y="14097" w:anchorLock="1"/>
        <w:ind w:firstLine="0" w:firstLineChars="0"/>
        <w:jc w:val="right"/>
        <w:rPr>
          <w:rFonts w:ascii="黑体" w:hAnsi="黑体" w:eastAsia="黑体" w:cs="黑体"/>
          <w:sz w:val="28"/>
        </w:rPr>
      </w:pPr>
      <w:r>
        <w:rPr>
          <w:rFonts w:hint="eastAsia" w:ascii="黑体" w:hAnsi="黑体" w:eastAsia="黑体" w:cs="黑体"/>
          <w:sz w:val="28"/>
        </w:rPr>
        <w:t>2026-XX-XX实施</w:t>
      </w:r>
    </w:p>
    <w:p w14:paraId="77163D64">
      <w:pPr>
        <w:framePr w:w="9700" w:h="1089" w:hRule="exact" w:hSpace="181" w:vSpace="181" w:wrap="around" w:vAnchor="page" w:hAnchor="page" w:x="1414" w:y="2286" w:anchorLock="1"/>
        <w:spacing w:line="0" w:lineRule="atLeast"/>
        <w:ind w:firstLine="0" w:firstLineChars="0"/>
        <w:jc w:val="distribute"/>
        <w:rPr>
          <w:rFonts w:ascii="黑体" w:hAnsi="黑体" w:eastAsia="黑体" w:cs="黑体"/>
          <w:spacing w:val="-40"/>
          <w:sz w:val="84"/>
          <w:szCs w:val="84"/>
        </w:rPr>
      </w:pPr>
      <w:bookmarkStart w:id="2" w:name="c6"/>
      <w:r>
        <w:rPr>
          <w:rFonts w:hint="eastAsia" w:ascii="黑体" w:hAnsi="黑体" w:eastAsia="黑体" w:cs="黑体"/>
          <w:spacing w:val="-40"/>
          <w:sz w:val="84"/>
          <w:szCs w:val="84"/>
        </w:rPr>
        <w:t>团体标准</w:t>
      </w:r>
      <w:bookmarkEnd w:id="2"/>
    </w:p>
    <w:p w14:paraId="7667F6B6">
      <w:pPr>
        <w:framePr w:w="9140" w:h="1242" w:hRule="exact" w:hSpace="284" w:wrap="around" w:vAnchor="page" w:hAnchor="page" w:x="1563" w:y="2437" w:anchorLock="1"/>
        <w:tabs>
          <w:tab w:val="left" w:pos="858"/>
        </w:tabs>
        <w:spacing w:before="357" w:line="280" w:lineRule="exact"/>
        <w:ind w:firstLine="0" w:firstLineChars="0"/>
        <w:jc w:val="left"/>
        <w:rPr>
          <w:rFonts w:asciiTheme="minorEastAsia" w:hAnsiTheme="minorEastAsia" w:eastAsiaTheme="minorEastAsia" w:cstheme="minorEastAsia"/>
          <w:sz w:val="28"/>
          <w:szCs w:val="28"/>
        </w:rPr>
      </w:pPr>
    </w:p>
    <w:p w14:paraId="3FBA2DC4">
      <w:pPr>
        <w:framePr w:w="9140" w:h="1242" w:hRule="exact" w:hSpace="284" w:wrap="around" w:vAnchor="page" w:hAnchor="page" w:x="1563" w:y="2437" w:anchorLock="1"/>
        <w:spacing w:before="357" w:line="280" w:lineRule="exact"/>
        <w:ind w:firstLine="0" w:firstLineChars="0"/>
        <w:jc w:val="right"/>
        <w:rPr>
          <w:rFonts w:ascii="黑体" w:hAnsi="黑体" w:eastAsia="黑体" w:cs="黑体"/>
          <w:sz w:val="28"/>
          <w:szCs w:val="28"/>
        </w:rPr>
      </w:pPr>
      <w:r>
        <w:rPr>
          <w:rFonts w:hint="eastAsia" w:ascii="黑体" w:hAnsi="黑体" w:eastAsia="黑体" w:cs="黑体"/>
          <w:sz w:val="28"/>
          <w:szCs w:val="28"/>
        </w:rPr>
        <w:t>T/SZSIIIA XXXX-20XX</w:t>
      </w:r>
    </w:p>
    <w:tbl>
      <w:tblPr>
        <w:tblStyle w:val="14"/>
        <w:tblW w:w="9356" w:type="dxa"/>
        <w:tblInd w:w="0" w:type="dxa"/>
        <w:tblLayout w:type="fixed"/>
        <w:tblCellMar>
          <w:top w:w="0" w:type="dxa"/>
          <w:left w:w="108" w:type="dxa"/>
          <w:bottom w:w="0" w:type="dxa"/>
          <w:right w:w="108" w:type="dxa"/>
        </w:tblCellMar>
      </w:tblPr>
      <w:tblGrid>
        <w:gridCol w:w="9356"/>
      </w:tblGrid>
      <w:tr w14:paraId="12B90226">
        <w:tblPrEx>
          <w:tblCellMar>
            <w:top w:w="0" w:type="dxa"/>
            <w:left w:w="108" w:type="dxa"/>
            <w:bottom w:w="0" w:type="dxa"/>
            <w:right w:w="108" w:type="dxa"/>
          </w:tblCellMar>
        </w:tblPrEx>
        <w:tc>
          <w:tcPr>
            <w:tcW w:w="9356" w:type="dxa"/>
            <w:tcBorders>
              <w:top w:val="nil"/>
              <w:left w:val="nil"/>
              <w:bottom w:val="nil"/>
              <w:right w:val="nil"/>
            </w:tcBorders>
          </w:tcPr>
          <w:p w14:paraId="181FE6AC">
            <w:pPr>
              <w:framePr w:w="9140" w:h="1242" w:hRule="exact" w:hSpace="284" w:wrap="around" w:vAnchor="page" w:hAnchor="page" w:x="1563" w:y="2437" w:anchorLock="1"/>
              <w:tabs>
                <w:tab w:val="center" w:pos="4201"/>
                <w:tab w:val="right" w:leader="dot" w:pos="9298"/>
              </w:tabs>
              <w:spacing w:before="57" w:line="280" w:lineRule="exact"/>
              <w:ind w:right="735" w:firstLine="0" w:firstLineChars="0"/>
              <w:rPr>
                <w:rFonts w:asciiTheme="minorEastAsia" w:hAnsiTheme="minorEastAsia" w:eastAsiaTheme="minorEastAsia" w:cstheme="minorEastAsia"/>
                <w:szCs w:val="21"/>
              </w:rPr>
            </w:pPr>
            <w:bookmarkStart w:id="3" w:name="DT"/>
            <w:r>
              <w:rPr>
                <w:rFonts w:hint="eastAsia" w:asciiTheme="minorEastAsia" w:hAnsiTheme="minorEastAsia" w:eastAsiaTheme="minorEastAsia" w:cstheme="minorEastAsia"/>
                <w:szCs w:val="21"/>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upright="1"/>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eYPLL1gAAAAgBAAAPAAAA&#10;AAAAAAEAIAAAACIAAABkcnMvZG93bnJldi54bWxQSwECFAAUAAAACACHTuJAh1BKgqUBAABoAwAA&#10;DgAAAAAAAAABACAAAAAlAQAAZHJzL2Uyb0RvYy54bWxQSwUGAAAAAAYABgBZAQAAPAUAAAAA&#10;">
                      <v:fill on="t" focussize="0,0"/>
                      <v:stroke on="f"/>
                      <v:imagedata o:title=""/>
                      <o:lock v:ext="edit" aspectratio="f"/>
                    </v:rect>
                  </w:pict>
                </mc:Fallback>
              </mc:AlternateContent>
            </w:r>
            <w:bookmarkEnd w:id="3"/>
          </w:p>
        </w:tc>
      </w:tr>
    </w:tbl>
    <w:p w14:paraId="4728649B">
      <w:pPr>
        <w:framePr w:w="9140" w:h="1242" w:hRule="exact" w:hSpace="284" w:wrap="around" w:vAnchor="page" w:hAnchor="page" w:x="1563" w:y="2437" w:anchorLock="1"/>
        <w:spacing w:before="357" w:line="280" w:lineRule="exact"/>
        <w:ind w:firstLine="0" w:firstLineChars="0"/>
        <w:jc w:val="right"/>
        <w:rPr>
          <w:rFonts w:asciiTheme="minorEastAsia" w:hAnsiTheme="minorEastAsia" w:eastAsiaTheme="minorEastAsia" w:cstheme="minorEastAsia"/>
          <w:sz w:val="28"/>
          <w:szCs w:val="28"/>
        </w:rPr>
      </w:pPr>
    </w:p>
    <w:p w14:paraId="69DE7663">
      <w:pPr>
        <w:framePr w:w="9140" w:h="1242" w:hRule="exact" w:hSpace="284" w:wrap="around" w:vAnchor="page" w:hAnchor="page" w:x="1563" w:y="2437" w:anchorLock="1"/>
        <w:spacing w:before="357" w:line="280" w:lineRule="exact"/>
        <w:ind w:firstLine="0" w:firstLineChars="0"/>
        <w:jc w:val="right"/>
        <w:rPr>
          <w:rFonts w:asciiTheme="minorEastAsia" w:hAnsiTheme="minorEastAsia" w:eastAsiaTheme="minorEastAsia" w:cstheme="minorEastAsia"/>
          <w:sz w:val="28"/>
          <w:szCs w:val="28"/>
        </w:rPr>
      </w:pPr>
    </w:p>
    <w:p w14:paraId="51F1D893">
      <w:pPr>
        <w:keepNext w:val="0"/>
        <w:keepLines w:val="0"/>
        <w:pageBreakBefore w:val="0"/>
        <w:framePr w:w="11646" w:h="7470" w:hRule="exact" w:wrap="around" w:vAnchor="page" w:hAnchor="page" w:x="8" w:y="6609" w:anchorLock="1"/>
        <w:widowControl/>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ascii="黑体" w:hAnsi="黑体" w:eastAsia="黑体" w:cs="黑体"/>
          <w:sz w:val="52"/>
        </w:rPr>
      </w:pPr>
      <w:r>
        <w:rPr>
          <w:rFonts w:hint="eastAsia" w:ascii="黑体" w:hAnsi="黑体" w:eastAsia="黑体" w:cs="黑体"/>
          <w:sz w:val="52"/>
        </w:rPr>
        <w:t>激光测振仪器高频振动测量性能</w:t>
      </w:r>
    </w:p>
    <w:p w14:paraId="6483D6EF">
      <w:pPr>
        <w:keepNext w:val="0"/>
        <w:keepLines w:val="0"/>
        <w:pageBreakBefore w:val="0"/>
        <w:framePr w:w="11646" w:h="7470" w:hRule="exact" w:wrap="around" w:vAnchor="page" w:hAnchor="page" w:x="8" w:y="6609" w:anchorLock="1"/>
        <w:widowControl/>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ascii="黑体" w:hAnsi="黑体" w:eastAsia="黑体" w:cs="黑体"/>
          <w:sz w:val="52"/>
        </w:rPr>
      </w:pPr>
      <w:r>
        <w:rPr>
          <w:rFonts w:hint="eastAsia" w:ascii="黑体" w:hAnsi="黑体" w:eastAsia="黑体" w:cs="黑体"/>
          <w:sz w:val="52"/>
        </w:rPr>
        <w:t>检测方法</w:t>
      </w:r>
    </w:p>
    <w:p w14:paraId="05AFE3D7">
      <w:pPr>
        <w:keepNext w:val="0"/>
        <w:keepLines w:val="0"/>
        <w:pageBreakBefore w:val="0"/>
        <w:framePr w:w="11646" w:h="7470" w:hRule="exact" w:wrap="around" w:vAnchor="page" w:hAnchor="page" w:x="8" w:y="6609" w:anchorLock="1"/>
        <w:widowControl/>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ascii="黑体" w:hAnsi="黑体" w:eastAsia="黑体" w:cs="黑体"/>
          <w:sz w:val="32"/>
          <w:szCs w:val="11"/>
        </w:rPr>
      </w:pPr>
      <w:r>
        <w:rPr>
          <w:rFonts w:hint="eastAsia" w:ascii="黑体" w:hAnsi="黑体" w:eastAsia="黑体" w:cs="黑体"/>
          <w:sz w:val="32"/>
          <w:szCs w:val="11"/>
        </w:rPr>
        <w:t>(征求意见稿）</w:t>
      </w:r>
    </w:p>
    <w:p w14:paraId="38F08694">
      <w:pPr>
        <w:keepNext w:val="0"/>
        <w:keepLines w:val="0"/>
        <w:pageBreakBefore w:val="0"/>
        <w:framePr w:w="11646" w:h="7470" w:hRule="exact" w:wrap="around" w:vAnchor="page" w:hAnchor="page" w:x="8" w:y="6609" w:anchorLock="1"/>
        <w:widowControl/>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eastAsia="黑体" w:cs="Times New Roman"/>
          <w:sz w:val="28"/>
          <w:szCs w:val="28"/>
        </w:rPr>
      </w:pPr>
      <w:r>
        <w:rPr>
          <w:rFonts w:eastAsia="黑体" w:cs="Times New Roman"/>
          <w:sz w:val="28"/>
          <w:szCs w:val="28"/>
        </w:rPr>
        <w:t xml:space="preserve">Method for Performance Testing of </w:t>
      </w:r>
      <w:r>
        <w:rPr>
          <w:rFonts w:hint="eastAsia" w:eastAsia="黑体" w:cs="Times New Roman"/>
          <w:sz w:val="28"/>
          <w:szCs w:val="28"/>
        </w:rPr>
        <w:t>High</w:t>
      </w:r>
      <w:r>
        <w:rPr>
          <w:rFonts w:eastAsia="黑体" w:cs="Times New Roman"/>
          <w:sz w:val="28"/>
          <w:szCs w:val="28"/>
        </w:rPr>
        <w:t xml:space="preserve">-Frequency Vibration </w:t>
      </w:r>
    </w:p>
    <w:p w14:paraId="0AAE35DA">
      <w:pPr>
        <w:keepNext w:val="0"/>
        <w:keepLines w:val="0"/>
        <w:pageBreakBefore w:val="0"/>
        <w:framePr w:w="11646" w:h="7470" w:hRule="exact" w:wrap="around" w:vAnchor="page" w:hAnchor="page" w:x="8" w:y="6609" w:anchorLock="1"/>
        <w:widowControl/>
        <w:tabs>
          <w:tab w:val="center" w:pos="4201"/>
          <w:tab w:val="right" w:leader="dot" w:pos="9298"/>
        </w:tabs>
        <w:kinsoku/>
        <w:wordWrap/>
        <w:overflowPunct/>
        <w:topLinePunct w:val="0"/>
        <w:autoSpaceDE/>
        <w:autoSpaceDN/>
        <w:bidi w:val="0"/>
        <w:adjustRightInd/>
        <w:snapToGrid/>
        <w:ind w:firstLine="0" w:firstLineChars="0"/>
        <w:jc w:val="center"/>
        <w:textAlignment w:val="auto"/>
        <w:rPr>
          <w:rFonts w:eastAsia="黑体" w:cs="Times New Roman"/>
          <w:sz w:val="28"/>
          <w:szCs w:val="28"/>
        </w:rPr>
      </w:pPr>
      <w:r>
        <w:rPr>
          <w:rFonts w:eastAsia="黑体" w:cs="Times New Roman"/>
          <w:sz w:val="28"/>
          <w:szCs w:val="28"/>
        </w:rPr>
        <w:t>Measurement of Laser Vibrometers</w:t>
      </w:r>
    </w:p>
    <w:p w14:paraId="2095658A">
      <w:pPr>
        <w:pStyle w:val="18"/>
        <w:framePr w:w="11646" w:h="7470" w:hRule="exact" w:wrap="around" w:vAnchor="page" w:hAnchor="page" w:x="8" w:y="6609" w:anchorLock="1"/>
        <w:textAlignment w:val="center"/>
        <w:rPr>
          <w:rFonts w:asciiTheme="minorEastAsia" w:hAnsiTheme="minorEastAsia" w:eastAsiaTheme="minorEastAsia" w:cstheme="minorEastAsia"/>
          <w:sz w:val="48"/>
          <w:szCs w:val="48"/>
        </w:rPr>
      </w:pPr>
    </w:p>
    <w:p w14:paraId="1D2671CD">
      <w:pPr>
        <w:framePr w:w="8941" w:h="1134" w:hRule="exact" w:hSpace="125" w:vSpace="181" w:wrap="around" w:vAnchor="page" w:hAnchor="page" w:x="1789" w:y="15035" w:anchorLock="1"/>
        <w:spacing w:line="0" w:lineRule="atLeast"/>
        <w:ind w:firstLine="0" w:firstLineChars="0"/>
        <w:jc w:val="center"/>
        <w:rPr>
          <w:rFonts w:asciiTheme="minorEastAsia" w:hAnsiTheme="minorEastAsia" w:eastAsiaTheme="minorEastAsia" w:cstheme="minorEastAsia"/>
          <w:spacing w:val="20"/>
          <w:w w:val="135"/>
          <w:sz w:val="28"/>
        </w:rPr>
      </w:pPr>
      <w:r>
        <w:rPr>
          <w:rFonts w:hint="eastAsia" w:ascii="黑体" w:hAnsi="黑体" w:eastAsia="黑体" w:cs="黑体"/>
          <w:spacing w:val="20"/>
          <w:w w:val="135"/>
          <w:sz w:val="28"/>
        </w:rPr>
        <w:t xml:space="preserve">深圳市传感器与智能化仪器仪表行业协会  </w:t>
      </w:r>
      <w:r>
        <w:rPr>
          <w:rFonts w:hint="eastAsia" w:ascii="黑体" w:hAnsi="黑体" w:eastAsia="黑体" w:cs="黑体"/>
          <w:spacing w:val="85"/>
          <w:position w:val="3"/>
          <w:sz w:val="28"/>
          <w:szCs w:val="28"/>
        </w:rPr>
        <w:t>发布</w:t>
      </w:r>
    </w:p>
    <w:p w14:paraId="1B044F9D">
      <w:pPr>
        <w:tabs>
          <w:tab w:val="center" w:pos="4201"/>
          <w:tab w:val="right" w:leader="dot" w:pos="9298"/>
        </w:tabs>
        <w:ind w:firstLine="0" w:firstLineChars="0"/>
        <w:rPr>
          <w:rFonts w:asciiTheme="minorEastAsia" w:hAnsiTheme="minorEastAsia" w:eastAsiaTheme="minorEastAsia" w:cstheme="minorEastAsia"/>
        </w:rPr>
        <w:sectPr>
          <w:headerReference r:id="rId7" w:type="first"/>
          <w:footerReference r:id="rId10" w:type="first"/>
          <w:headerReference r:id="rId5" w:type="default"/>
          <w:footerReference r:id="rId8" w:type="default"/>
          <w:headerReference r:id="rId6" w:type="even"/>
          <w:footerReference r:id="rId9" w:type="even"/>
          <w:pgSz w:w="11906" w:h="16838"/>
          <w:pgMar w:top="567" w:right="850" w:bottom="1134" w:left="1418" w:header="0" w:footer="0" w:gutter="0"/>
          <w:pgNumType w:fmt="numberInDash" w:start="1"/>
          <w:cols w:space="720" w:num="1"/>
          <w:docGrid w:type="lines" w:linePitch="312" w:charSpace="0"/>
        </w:sectPr>
      </w:pPr>
      <w:r>
        <w:rPr>
          <w:rFonts w:hint="eastAsia" w:asciiTheme="minorEastAsia" w:hAnsiTheme="minorEastAsia" w:eastAsiaTheme="minorEastAsia" w:cstheme="minorEastAsi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5"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Bs2BOk3wEAANAD&#10;AAAOAAAAAAAAAAEAIAAAACYBAABkcnMvZTJvRG9jLnhtbFBLBQYAAAAABgAGAFkBAAB3BQAAAAA=&#10;">
                <v:fill on="f" focussize="0,0"/>
                <v:stroke color="#000000" joinstyle="round"/>
                <v:imagedata o:title=""/>
                <o:lock v:ext="edit" aspectratio="f"/>
              </v:line>
            </w:pict>
          </mc:Fallback>
        </mc:AlternateContent>
      </w:r>
    </w:p>
    <w:p w14:paraId="23739153">
      <w:pPr>
        <w:keepNext w:val="0"/>
        <w:keepLines w:val="0"/>
        <w:pageBreakBefore w:val="0"/>
        <w:widowControl/>
        <w:kinsoku/>
        <w:wordWrap/>
        <w:overflowPunct/>
        <w:topLinePunct w:val="0"/>
        <w:autoSpaceDE/>
        <w:autoSpaceDN/>
        <w:bidi w:val="0"/>
        <w:adjustRightInd/>
        <w:snapToGrid/>
        <w:spacing w:before="640" w:after="560" w:line="460" w:lineRule="exact"/>
        <w:ind w:firstLine="0" w:firstLineChars="0"/>
        <w:jc w:val="center"/>
        <w:textAlignment w:val="auto"/>
        <w:rPr>
          <w:rFonts w:ascii="Times New Roman" w:hAnsi="Times New Roman" w:cs="Times New Roman" w:eastAsiaTheme="minorEastAsia"/>
          <w:kern w:val="2"/>
          <w:sz w:val="21"/>
          <w:szCs w:val="21"/>
          <w:lang w:val="en-US" w:eastAsia="zh-CN" w:bidi="ar-SA"/>
        </w:rPr>
      </w:pPr>
      <w:bookmarkStart w:id="4" w:name="_Toc31519"/>
      <w:bookmarkStart w:id="5" w:name="_Toc217571901"/>
      <w:bookmarkStart w:id="6" w:name="_Toc23053"/>
      <w:bookmarkStart w:id="7" w:name="_Toc9529"/>
      <w:bookmarkStart w:id="8" w:name="_Toc21337"/>
      <w:bookmarkStart w:id="9" w:name="_Toc22530"/>
      <w:bookmarkStart w:id="10" w:name="_Toc192012640"/>
      <w:bookmarkStart w:id="11" w:name="_Toc24857"/>
      <w:bookmarkStart w:id="12" w:name="_Toc21966"/>
      <w:r>
        <w:rPr>
          <w:rStyle w:val="36"/>
          <w:rFonts w:hint="eastAsia"/>
        </w:rPr>
        <w:t xml:space="preserve">目  </w:t>
      </w:r>
      <w:bookmarkEnd w:id="4"/>
      <w:bookmarkEnd w:id="5"/>
      <w:bookmarkEnd w:id="6"/>
      <w:bookmarkEnd w:id="7"/>
      <w:bookmarkEnd w:id="8"/>
      <w:bookmarkEnd w:id="9"/>
      <w:bookmarkEnd w:id="10"/>
      <w:bookmarkEnd w:id="11"/>
      <w:r>
        <w:rPr>
          <w:rStyle w:val="36"/>
          <w:rFonts w:hint="eastAsia"/>
        </w:rPr>
        <w:t>次</w:t>
      </w:r>
      <w:bookmarkEnd w:id="12"/>
      <w:r>
        <w:rPr>
          <w:rFonts w:ascii="Times New Roman" w:cs="Times New Roman" w:eastAsiaTheme="minorEastAsia"/>
          <w:szCs w:val="21"/>
        </w:rPr>
        <w:fldChar w:fldCharType="begin"/>
      </w:r>
      <w:r>
        <w:rPr>
          <w:rFonts w:ascii="Times New Roman" w:cs="Times New Roman" w:eastAsiaTheme="minorEastAsia"/>
          <w:szCs w:val="21"/>
        </w:rPr>
        <w:instrText xml:space="preserve"> TOC \o "1-2" \h \z \u </w:instrText>
      </w:r>
      <w:r>
        <w:rPr>
          <w:rFonts w:ascii="Times New Roman" w:cs="Times New Roman" w:eastAsiaTheme="minorEastAsia"/>
          <w:szCs w:val="21"/>
        </w:rPr>
        <w:fldChar w:fldCharType="separate"/>
      </w:r>
    </w:p>
    <w:p w14:paraId="5EB33804">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_Toc17549 </w:instrText>
      </w:r>
      <w:r>
        <w:rPr>
          <w:rFonts w:cs="Times New Roman" w:eastAsiaTheme="minorEastAsia"/>
          <w:szCs w:val="21"/>
        </w:rPr>
        <w:fldChar w:fldCharType="separate"/>
      </w:r>
      <w:r>
        <w:rPr>
          <w:rFonts w:hint="eastAsia" w:ascii="黑体" w:hAnsi="黑体" w:eastAsia="黑体" w:cs="黑体"/>
        </w:rPr>
        <w:t>前  言</w:t>
      </w:r>
      <w:r>
        <w:tab/>
      </w:r>
      <w:r>
        <w:fldChar w:fldCharType="begin"/>
      </w:r>
      <w:r>
        <w:instrText xml:space="preserve"> PAGEREF _Toc17549 \h </w:instrText>
      </w:r>
      <w:r>
        <w:fldChar w:fldCharType="separate"/>
      </w:r>
      <w:r>
        <w:t>1</w:t>
      </w:r>
      <w:r>
        <w:fldChar w:fldCharType="end"/>
      </w:r>
      <w:r>
        <w:rPr>
          <w:rFonts w:cs="Times New Roman" w:eastAsiaTheme="minorEastAsia"/>
          <w:szCs w:val="21"/>
        </w:rPr>
        <w:fldChar w:fldCharType="end"/>
      </w:r>
    </w:p>
    <w:p w14:paraId="3EAA7CC9">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_Toc8975 </w:instrText>
      </w:r>
      <w:r>
        <w:rPr>
          <w:rFonts w:cs="Times New Roman" w:eastAsiaTheme="minorEastAsia"/>
          <w:szCs w:val="21"/>
        </w:rPr>
        <w:fldChar w:fldCharType="separate"/>
      </w:r>
      <w:r>
        <w:rPr>
          <w:rFonts w:hint="eastAsia" w:ascii="黑体" w:hAnsi="Times New Roman" w:eastAsia="黑体" w:cs="黑体"/>
          <w:i w:val="0"/>
          <w:szCs w:val="21"/>
        </w:rPr>
        <w:t xml:space="preserve">1 </w:t>
      </w:r>
      <w:r>
        <w:rPr>
          <w:rFonts w:hint="eastAsia" w:cs="黑体"/>
          <w:szCs w:val="21"/>
        </w:rPr>
        <w:t>范围</w:t>
      </w:r>
      <w:r>
        <w:tab/>
      </w:r>
      <w:r>
        <w:fldChar w:fldCharType="begin"/>
      </w:r>
      <w:r>
        <w:instrText xml:space="preserve"> PAGEREF _Toc8975 \h </w:instrText>
      </w:r>
      <w:r>
        <w:fldChar w:fldCharType="separate"/>
      </w:r>
      <w:r>
        <w:t>1</w:t>
      </w:r>
      <w:r>
        <w:fldChar w:fldCharType="end"/>
      </w:r>
      <w:r>
        <w:rPr>
          <w:rFonts w:cs="Times New Roman" w:eastAsiaTheme="minorEastAsia"/>
          <w:szCs w:val="21"/>
        </w:rPr>
        <w:fldChar w:fldCharType="end"/>
      </w:r>
    </w:p>
    <w:p w14:paraId="6BF187BE">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_Toc21439 </w:instrText>
      </w:r>
      <w:r>
        <w:rPr>
          <w:rFonts w:cs="Times New Roman" w:eastAsiaTheme="minorEastAsia"/>
          <w:szCs w:val="21"/>
        </w:rPr>
        <w:fldChar w:fldCharType="separate"/>
      </w:r>
      <w:r>
        <w:rPr>
          <w:rFonts w:hint="eastAsia" w:ascii="黑体" w:hAnsi="Times New Roman" w:eastAsia="黑体" w:cs="黑体"/>
          <w:i w:val="0"/>
          <w:szCs w:val="21"/>
        </w:rPr>
        <w:t xml:space="preserve">2 </w:t>
      </w:r>
      <w:r>
        <w:rPr>
          <w:rFonts w:hint="eastAsia" w:cs="黑体"/>
          <w:szCs w:val="21"/>
        </w:rPr>
        <w:t>规范性引用文件</w:t>
      </w:r>
      <w:r>
        <w:tab/>
      </w:r>
      <w:r>
        <w:fldChar w:fldCharType="begin"/>
      </w:r>
      <w:r>
        <w:instrText xml:space="preserve"> PAGEREF _Toc21439 \h </w:instrText>
      </w:r>
      <w:r>
        <w:fldChar w:fldCharType="separate"/>
      </w:r>
      <w:r>
        <w:t>1</w:t>
      </w:r>
      <w:r>
        <w:fldChar w:fldCharType="end"/>
      </w:r>
      <w:r>
        <w:rPr>
          <w:rFonts w:cs="Times New Roman" w:eastAsiaTheme="minorEastAsia"/>
          <w:szCs w:val="21"/>
        </w:rPr>
        <w:fldChar w:fldCharType="end"/>
      </w:r>
    </w:p>
    <w:p w14:paraId="40BCEFDE">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_Toc26067 </w:instrText>
      </w:r>
      <w:r>
        <w:rPr>
          <w:rFonts w:cs="Times New Roman" w:eastAsiaTheme="minorEastAsia"/>
          <w:szCs w:val="21"/>
        </w:rPr>
        <w:fldChar w:fldCharType="separate"/>
      </w:r>
      <w:r>
        <w:rPr>
          <w:rFonts w:hint="eastAsia" w:ascii="黑体" w:hAnsi="Times New Roman" w:eastAsia="黑体" w:cs="黑体"/>
          <w:i w:val="0"/>
          <w:szCs w:val="21"/>
        </w:rPr>
        <w:t xml:space="preserve">3 </w:t>
      </w:r>
      <w:r>
        <w:rPr>
          <w:rFonts w:hint="eastAsia" w:cs="黑体"/>
          <w:szCs w:val="21"/>
        </w:rPr>
        <w:t>术语</w:t>
      </w:r>
      <w:r>
        <w:tab/>
      </w:r>
      <w:r>
        <w:fldChar w:fldCharType="begin"/>
      </w:r>
      <w:r>
        <w:instrText xml:space="preserve"> PAGEREF _Toc26067 \h </w:instrText>
      </w:r>
      <w:r>
        <w:fldChar w:fldCharType="separate"/>
      </w:r>
      <w:r>
        <w:t>1</w:t>
      </w:r>
      <w:r>
        <w:fldChar w:fldCharType="end"/>
      </w:r>
      <w:r>
        <w:rPr>
          <w:rFonts w:cs="Times New Roman" w:eastAsiaTheme="minorEastAsia"/>
          <w:szCs w:val="21"/>
        </w:rPr>
        <w:fldChar w:fldCharType="end"/>
      </w:r>
    </w:p>
    <w:p w14:paraId="3F79ECF0">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_Toc2585 </w:instrText>
      </w:r>
      <w:r>
        <w:rPr>
          <w:rFonts w:cs="Times New Roman" w:eastAsiaTheme="minorEastAsia"/>
          <w:szCs w:val="21"/>
        </w:rPr>
        <w:fldChar w:fldCharType="separate"/>
      </w:r>
      <w:r>
        <w:rPr>
          <w:rFonts w:hint="eastAsia" w:ascii="黑体" w:hAnsi="Times New Roman" w:eastAsia="黑体" w:cs="黑体"/>
          <w:i w:val="0"/>
          <w:szCs w:val="21"/>
        </w:rPr>
        <w:t xml:space="preserve">4 </w:t>
      </w:r>
      <w:r>
        <w:rPr>
          <w:rFonts w:hint="eastAsia" w:cs="黑体"/>
          <w:szCs w:val="21"/>
        </w:rPr>
        <w:t>概述</w:t>
      </w:r>
      <w:r>
        <w:tab/>
      </w:r>
      <w:r>
        <w:fldChar w:fldCharType="begin"/>
      </w:r>
      <w:r>
        <w:instrText xml:space="preserve"> PAGEREF _Toc2585 \h </w:instrText>
      </w:r>
      <w:r>
        <w:fldChar w:fldCharType="separate"/>
      </w:r>
      <w:r>
        <w:t>1</w:t>
      </w:r>
      <w:r>
        <w:fldChar w:fldCharType="end"/>
      </w:r>
      <w:r>
        <w:rPr>
          <w:rFonts w:cs="Times New Roman" w:eastAsiaTheme="minorEastAsia"/>
          <w:szCs w:val="21"/>
        </w:rPr>
        <w:fldChar w:fldCharType="end"/>
      </w:r>
    </w:p>
    <w:p w14:paraId="4519F0B0">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_Toc30964 </w:instrText>
      </w:r>
      <w:r>
        <w:rPr>
          <w:rFonts w:cs="Times New Roman" w:eastAsiaTheme="minorEastAsia"/>
          <w:szCs w:val="21"/>
        </w:rPr>
        <w:fldChar w:fldCharType="separate"/>
      </w:r>
      <w:r>
        <w:rPr>
          <w:rFonts w:hint="eastAsia" w:ascii="黑体" w:hAnsi="Times New Roman" w:eastAsia="黑体" w:cs="黑体"/>
          <w:i w:val="0"/>
          <w:szCs w:val="21"/>
        </w:rPr>
        <w:t xml:space="preserve">5 </w:t>
      </w:r>
      <w:r>
        <w:rPr>
          <w:rFonts w:hint="eastAsia" w:cs="黑体"/>
          <w:szCs w:val="21"/>
        </w:rPr>
        <w:t>检测条件及要求</w:t>
      </w:r>
      <w:r>
        <w:tab/>
      </w:r>
      <w:r>
        <w:fldChar w:fldCharType="begin"/>
      </w:r>
      <w:r>
        <w:instrText xml:space="preserve"> PAGEREF _Toc30964 \h </w:instrText>
      </w:r>
      <w:r>
        <w:fldChar w:fldCharType="separate"/>
      </w:r>
      <w:r>
        <w:t>1</w:t>
      </w:r>
      <w:r>
        <w:fldChar w:fldCharType="end"/>
      </w:r>
      <w:r>
        <w:rPr>
          <w:rFonts w:cs="Times New Roman" w:eastAsiaTheme="minorEastAsia"/>
          <w:szCs w:val="21"/>
        </w:rPr>
        <w:fldChar w:fldCharType="end"/>
      </w:r>
    </w:p>
    <w:p w14:paraId="2D5E9A09">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_Toc6092 </w:instrText>
      </w:r>
      <w:r>
        <w:rPr>
          <w:rFonts w:cs="Times New Roman" w:eastAsiaTheme="minorEastAsia"/>
          <w:szCs w:val="21"/>
        </w:rPr>
        <w:fldChar w:fldCharType="separate"/>
      </w:r>
      <w:r>
        <w:rPr>
          <w:rFonts w:hint="eastAsia" w:ascii="黑体" w:hAnsi="Times New Roman" w:eastAsia="黑体" w:cs="黑体"/>
          <w:i w:val="0"/>
          <w:szCs w:val="21"/>
        </w:rPr>
        <w:t xml:space="preserve">6 </w:t>
      </w:r>
      <w:r>
        <w:rPr>
          <w:rFonts w:hint="eastAsia" w:cs="黑体"/>
          <w:szCs w:val="21"/>
        </w:rPr>
        <w:t>检测方法</w:t>
      </w:r>
      <w:r>
        <w:tab/>
      </w:r>
      <w:r>
        <w:fldChar w:fldCharType="begin"/>
      </w:r>
      <w:r>
        <w:instrText xml:space="preserve"> PAGEREF _Toc6092 \h </w:instrText>
      </w:r>
      <w:r>
        <w:fldChar w:fldCharType="separate"/>
      </w:r>
      <w:r>
        <w:t>2</w:t>
      </w:r>
      <w:r>
        <w:fldChar w:fldCharType="end"/>
      </w:r>
      <w:r>
        <w:rPr>
          <w:rFonts w:cs="Times New Roman" w:eastAsiaTheme="minorEastAsia"/>
          <w:szCs w:val="21"/>
        </w:rPr>
        <w:fldChar w:fldCharType="end"/>
      </w:r>
    </w:p>
    <w:p w14:paraId="29958EC3">
      <w:pPr>
        <w:pStyle w:val="10"/>
        <w:tabs>
          <w:tab w:val="right" w:leader="dot" w:pos="9354"/>
        </w:tabs>
      </w:pPr>
      <w:r>
        <w:rPr>
          <w:rFonts w:cs="Times New Roman" w:eastAsiaTheme="minorEastAsia"/>
          <w:szCs w:val="21"/>
        </w:rPr>
        <w:fldChar w:fldCharType="begin"/>
      </w:r>
      <w:r>
        <w:rPr>
          <w:rFonts w:cs="Times New Roman" w:eastAsiaTheme="minorEastAsia"/>
          <w:szCs w:val="21"/>
        </w:rPr>
        <w:instrText xml:space="preserve"> HYPERLINK \l _Toc15800 </w:instrText>
      </w:r>
      <w:r>
        <w:rPr>
          <w:rFonts w:cs="Times New Roman" w:eastAsiaTheme="minorEastAsia"/>
          <w:szCs w:val="21"/>
        </w:rPr>
        <w:fldChar w:fldCharType="separate"/>
      </w:r>
      <w:r>
        <w:rPr>
          <w:rFonts w:hint="eastAsia" w:ascii="黑体" w:hAnsi="Times New Roman" w:eastAsia="黑体" w:cs="黑体"/>
          <w:i w:val="0"/>
          <w:szCs w:val="21"/>
        </w:rPr>
        <w:t xml:space="preserve">7 </w:t>
      </w:r>
      <w:r>
        <w:rPr>
          <w:rFonts w:hint="eastAsia" w:cs="黑体"/>
          <w:szCs w:val="21"/>
        </w:rPr>
        <w:t>记录内容</w:t>
      </w:r>
      <w:r>
        <w:tab/>
      </w:r>
      <w:r>
        <w:fldChar w:fldCharType="begin"/>
      </w:r>
      <w:r>
        <w:instrText xml:space="preserve"> PAGEREF _Toc15800 \h </w:instrText>
      </w:r>
      <w:r>
        <w:fldChar w:fldCharType="separate"/>
      </w:r>
      <w:r>
        <w:t>4</w:t>
      </w:r>
      <w:r>
        <w:fldChar w:fldCharType="end"/>
      </w:r>
      <w:r>
        <w:rPr>
          <w:rFonts w:cs="Times New Roman" w:eastAsiaTheme="minorEastAsia"/>
          <w:szCs w:val="21"/>
        </w:rPr>
        <w:fldChar w:fldCharType="end"/>
      </w:r>
    </w:p>
    <w:p w14:paraId="7DD970A8">
      <w:pPr>
        <w:pStyle w:val="19"/>
        <w:jc w:val="center"/>
        <w:rPr>
          <w:rFonts w:hint="eastAsia" w:ascii="黑体" w:hAnsi="黑体" w:eastAsia="黑体" w:cs="黑体"/>
          <w:color w:val="auto"/>
          <w:sz w:val="32"/>
        </w:rPr>
      </w:pPr>
      <w:r>
        <w:rPr>
          <w:rFonts w:cs="Times New Roman" w:eastAsiaTheme="minorEastAsia"/>
          <w:szCs w:val="21"/>
        </w:rPr>
        <w:fldChar w:fldCharType="end"/>
      </w:r>
      <w:bookmarkStart w:id="13" w:name="_Toc191565388"/>
      <w:bookmarkStart w:id="14" w:name="_Toc16223"/>
      <w:bookmarkStart w:id="15" w:name="_Toc20176"/>
      <w:bookmarkStart w:id="16" w:name="_Toc10305"/>
      <w:bookmarkStart w:id="17" w:name="_Toc17549"/>
      <w:bookmarkStart w:id="18" w:name="_Toc22558992"/>
      <w:bookmarkStart w:id="19" w:name="_Toc18046240"/>
      <w:bookmarkStart w:id="20" w:name="_Toc22558677"/>
      <w:r>
        <w:rPr>
          <w:rFonts w:hint="eastAsia" w:ascii="黑体" w:hAnsi="黑体" w:eastAsia="黑体" w:cs="黑体"/>
          <w:color w:val="auto"/>
          <w:sz w:val="32"/>
        </w:rPr>
        <w:t>前  言</w:t>
      </w:r>
      <w:bookmarkEnd w:id="13"/>
      <w:bookmarkEnd w:id="14"/>
      <w:bookmarkEnd w:id="15"/>
      <w:bookmarkEnd w:id="16"/>
      <w:bookmarkEnd w:id="17"/>
    </w:p>
    <w:p w14:paraId="5D15E6C6">
      <w:r>
        <w:rPr>
          <w:rFonts w:hint="eastAsia"/>
        </w:rPr>
        <w:t>本文件按照GB/T1.1—2020《标准化工作导则 第1部分：标准化文件的结构和起草规则》及</w:t>
      </w:r>
      <w:r>
        <w:rPr>
          <w:rFonts w:hint="eastAsia"/>
          <w:bCs/>
        </w:rPr>
        <w:t>JJF 1071-2010《国家计量检测规范编写规则》</w:t>
      </w:r>
      <w:r>
        <w:rPr>
          <w:rFonts w:hint="eastAsia"/>
        </w:rPr>
        <w:t>给出的规则起草。</w:t>
      </w:r>
    </w:p>
    <w:p w14:paraId="1134E2D9">
      <w:r>
        <w:rPr>
          <w:rFonts w:hint="eastAsia"/>
        </w:rPr>
        <w:t>本文件的某些内容可能涉及专利。本文件的发布机构不承担识别专利的责任。</w:t>
      </w:r>
    </w:p>
    <w:p w14:paraId="47307BF0">
      <w:r>
        <w:rPr>
          <w:rFonts w:hint="eastAsia"/>
        </w:rPr>
        <w:t>本文件由深圳市传感器与智能化仪器仪表行业协会提出并归口。</w:t>
      </w:r>
    </w:p>
    <w:p w14:paraId="3E4C7344">
      <w:r>
        <w:rPr>
          <w:rFonts w:hint="eastAsia"/>
        </w:rPr>
        <w:t>本文件起草单位：深圳市计量质量检测研究院、深圳市鹰眼在线电子科技有限公司、深圳大学。</w:t>
      </w:r>
    </w:p>
    <w:p w14:paraId="0B074852">
      <w:pPr>
        <w:rPr>
          <w:rFonts w:hint="eastAsia" w:eastAsia="宋体"/>
          <w:lang w:eastAsia="zh-CN"/>
        </w:rPr>
      </w:pPr>
      <w:r>
        <w:rPr>
          <w:rFonts w:hint="eastAsia"/>
        </w:rPr>
        <w:t>本文件起草人：</w:t>
      </w:r>
      <w:r>
        <w:rPr>
          <w:rFonts w:hint="eastAsia"/>
          <w:lang w:eastAsia="zh-CN"/>
        </w:rPr>
        <w:t>……</w:t>
      </w:r>
    </w:p>
    <w:p w14:paraId="28128050">
      <w:pPr>
        <w:rPr>
          <w:rFonts w:asciiTheme="minorEastAsia" w:hAnsiTheme="minorEastAsia" w:eastAsiaTheme="minorEastAsia" w:cstheme="minorEastAsia"/>
          <w:sz w:val="24"/>
          <w:szCs w:val="24"/>
        </w:rPr>
      </w:pPr>
      <w:r>
        <w:rPr>
          <w:rFonts w:hint="eastAsia"/>
        </w:rPr>
        <w:t>本文件为首次发布。</w:t>
      </w:r>
    </w:p>
    <w:p w14:paraId="4B0DC9B9">
      <w:pPr>
        <w:rPr>
          <w:lang w:val="zh-CN"/>
        </w:rPr>
      </w:pPr>
    </w:p>
    <w:p w14:paraId="7C435E51">
      <w:pPr>
        <w:rPr>
          <w:lang w:val="zh-CN"/>
        </w:rPr>
        <w:sectPr>
          <w:headerReference r:id="rId11" w:type="default"/>
          <w:footerReference r:id="rId12" w:type="default"/>
          <w:pgSz w:w="11906" w:h="16838"/>
          <w:pgMar w:top="567" w:right="1134" w:bottom="1134" w:left="1418" w:header="1417" w:footer="1134" w:gutter="0"/>
          <w:pgNumType w:fmt="numberInDash" w:start="1"/>
          <w:cols w:space="425" w:num="1"/>
          <w:docGrid w:type="lines" w:linePitch="312" w:charSpace="0"/>
        </w:sectPr>
      </w:pPr>
      <w:bookmarkStart w:id="49" w:name="_GoBack"/>
      <w:bookmarkEnd w:id="49"/>
    </w:p>
    <w:bookmarkEnd w:id="18"/>
    <w:bookmarkEnd w:id="19"/>
    <w:bookmarkEnd w:id="20"/>
    <w:p w14:paraId="0294449E">
      <w:pPr>
        <w:pStyle w:val="19"/>
        <w:snapToGrid w:val="0"/>
        <w:ind w:left="420"/>
        <w:rPr>
          <w:rFonts w:hAnsi="宋体" w:cs="Times New Roman"/>
          <w:kern w:val="0"/>
        </w:rPr>
      </w:pPr>
      <w:bookmarkStart w:id="21" w:name="_Toc6942"/>
      <w:bookmarkStart w:id="22" w:name="_Toc27571"/>
      <w:bookmarkStart w:id="23" w:name="_Toc19537"/>
      <w:bookmarkStart w:id="24" w:name="_Toc22925"/>
      <w:bookmarkStart w:id="25" w:name="_Toc614"/>
      <w:bookmarkStart w:id="26" w:name="_Toc217571903"/>
      <w:bookmarkStart w:id="27" w:name="_Toc26759"/>
      <w:bookmarkStart w:id="28" w:name="_Toc192012642"/>
      <w:r>
        <w:rPr>
          <w:rFonts w:hint="eastAsia" w:hAnsi="宋体" w:cs="Times New Roman"/>
          <w:kern w:val="0"/>
        </w:rPr>
        <w:t>激光测振仪器高频振动测量性能检测方法</w:t>
      </w:r>
      <w:bookmarkEnd w:id="21"/>
      <w:bookmarkEnd w:id="22"/>
      <w:bookmarkEnd w:id="23"/>
      <w:bookmarkEnd w:id="24"/>
      <w:bookmarkEnd w:id="25"/>
      <w:bookmarkEnd w:id="26"/>
      <w:bookmarkEnd w:id="27"/>
      <w:bookmarkEnd w:id="28"/>
    </w:p>
    <w:p w14:paraId="2DB4F985">
      <w:pPr>
        <w:pStyle w:val="31"/>
        <w:spacing w:before="312" w:after="312"/>
        <w:outlineLvl w:val="0"/>
        <w:rPr>
          <w:rFonts w:cs="黑体"/>
          <w:szCs w:val="21"/>
        </w:rPr>
      </w:pPr>
      <w:bookmarkStart w:id="29" w:name="_Toc191565389"/>
      <w:bookmarkStart w:id="30" w:name="_Toc8975"/>
      <w:bookmarkStart w:id="31" w:name="_Toc24289"/>
      <w:r>
        <w:rPr>
          <w:rFonts w:hint="eastAsia" w:cs="黑体"/>
          <w:szCs w:val="21"/>
        </w:rPr>
        <w:t>范围</w:t>
      </w:r>
      <w:bookmarkEnd w:id="29"/>
      <w:bookmarkEnd w:id="30"/>
      <w:bookmarkEnd w:id="31"/>
    </w:p>
    <w:p w14:paraId="403D8546">
      <w:r>
        <w:rPr>
          <w:rFonts w:hint="eastAsia"/>
        </w:rPr>
        <w:t>本文件规定了利用信号发生器、超声换能器对激光测振仪在20kHz到2MHz高频范围内振动性能的检测方法。</w:t>
      </w:r>
    </w:p>
    <w:p w14:paraId="794ED981">
      <w:r>
        <w:rPr>
          <w:rFonts w:hint="eastAsia"/>
        </w:rPr>
        <w:t>本文件适用于对工作频率范围包含20kHz - 2MHz的激光测振仪进行高频振动性能检测。</w:t>
      </w:r>
    </w:p>
    <w:p w14:paraId="343CBB0C">
      <w:pPr>
        <w:pStyle w:val="31"/>
        <w:spacing w:before="312" w:after="312"/>
        <w:outlineLvl w:val="0"/>
        <w:rPr>
          <w:rFonts w:cs="黑体"/>
          <w:szCs w:val="21"/>
        </w:rPr>
      </w:pPr>
      <w:bookmarkStart w:id="32" w:name="_Toc21439"/>
      <w:r>
        <w:rPr>
          <w:rFonts w:hint="eastAsia" w:cs="黑体"/>
          <w:szCs w:val="21"/>
        </w:rPr>
        <w:t>规范性引用文件</w:t>
      </w:r>
      <w:bookmarkEnd w:id="32"/>
    </w:p>
    <w:p w14:paraId="76432324">
      <w:pPr>
        <w:widowControl w:val="0"/>
        <w:snapToGrid w:val="0"/>
        <w:rPr>
          <w:rFonts w:cs="Times New Roman"/>
          <w:szCs w:val="24"/>
          <w:lang w:val="zh-CN" w:bidi="ar"/>
        </w:rPr>
      </w:pPr>
      <w:r>
        <w:rPr>
          <w:rFonts w:hint="eastAsia" w:cs="Times New Roman"/>
          <w:szCs w:val="24"/>
          <w:lang w:val="zh-CN" w:bidi="ar"/>
        </w:rPr>
        <w:t>下列文件</w:t>
      </w:r>
      <w:r>
        <w:rPr>
          <w:rFonts w:hint="eastAsia" w:cs="Times New Roman"/>
          <w:szCs w:val="24"/>
          <w:lang w:bidi="ar"/>
        </w:rPr>
        <w:t>中的内容通过文中的规范性引用而构成</w:t>
      </w:r>
      <w:r>
        <w:rPr>
          <w:rFonts w:hint="eastAsia" w:cs="Times New Roman"/>
          <w:szCs w:val="24"/>
          <w:lang w:val="zh-CN" w:bidi="ar"/>
        </w:rPr>
        <w:t>本文件必不可少的</w:t>
      </w:r>
      <w:r>
        <w:rPr>
          <w:rFonts w:hint="eastAsia" w:cs="Times New Roman"/>
          <w:szCs w:val="24"/>
          <w:lang w:bidi="ar"/>
        </w:rPr>
        <w:t>条款</w:t>
      </w:r>
      <w:r>
        <w:rPr>
          <w:rFonts w:hint="eastAsia" w:cs="Times New Roman"/>
          <w:szCs w:val="24"/>
          <w:lang w:val="zh-CN" w:bidi="ar"/>
        </w:rPr>
        <w:t>。凡是注日期的引用文件，仅所注日期的版本适用于本文件。凡是不注日期的引用文件，其最新版本（包括所有的修改单）适用于本文件。</w:t>
      </w:r>
    </w:p>
    <w:p w14:paraId="71F2F3A0">
      <w:pPr>
        <w:widowControl w:val="0"/>
        <w:snapToGrid w:val="0"/>
        <w:rPr>
          <w:rFonts w:cs="Times New Roman"/>
          <w:szCs w:val="24"/>
          <w:lang w:bidi="ar"/>
        </w:rPr>
      </w:pPr>
      <w:r>
        <w:rPr>
          <w:rFonts w:hint="eastAsia" w:cs="Times New Roman"/>
          <w:szCs w:val="24"/>
          <w:lang w:bidi="ar"/>
        </w:rPr>
        <w:t>GB/T 20485.11-2006振动与冲击传感器校准方法 第11部分：激光干涉法振动绝对校准</w:t>
      </w:r>
    </w:p>
    <w:p w14:paraId="58BC7CB0">
      <w:pPr>
        <w:widowControl w:val="0"/>
        <w:snapToGrid w:val="0"/>
        <w:rPr>
          <w:rFonts w:cs="Times New Roman"/>
          <w:szCs w:val="24"/>
          <w:lang w:bidi="ar"/>
        </w:rPr>
      </w:pPr>
      <w:r>
        <w:rPr>
          <w:rFonts w:hint="eastAsia" w:cs="Times New Roman"/>
          <w:szCs w:val="24"/>
          <w:lang w:bidi="ar"/>
        </w:rPr>
        <w:t>GB/T 20485.13-2007振动与冲击传感器校准方法 第13部分：激光干涉法冲击绝对校准</w:t>
      </w:r>
    </w:p>
    <w:p w14:paraId="178C6ADF">
      <w:pPr>
        <w:widowControl w:val="0"/>
        <w:snapToGrid w:val="0"/>
        <w:rPr>
          <w:rFonts w:cs="Times New Roman"/>
          <w:szCs w:val="24"/>
          <w:lang w:bidi="ar"/>
        </w:rPr>
      </w:pPr>
      <w:r>
        <w:rPr>
          <w:rFonts w:hint="eastAsia" w:cs="Times New Roman"/>
          <w:szCs w:val="24"/>
          <w:lang w:bidi="ar"/>
        </w:rPr>
        <w:t>GB/T 20485.41 振动与冲击传感器校准方法 第41部分：激光测振仪校准</w:t>
      </w:r>
    </w:p>
    <w:p w14:paraId="47FEE1A5">
      <w:pPr>
        <w:widowControl w:val="0"/>
        <w:snapToGrid w:val="0"/>
        <w:rPr>
          <w:rFonts w:cs="Times New Roman"/>
          <w:szCs w:val="24"/>
          <w:lang w:bidi="ar"/>
        </w:rPr>
      </w:pPr>
      <w:r>
        <w:rPr>
          <w:rFonts w:hint="eastAsia" w:cs="Times New Roman"/>
          <w:szCs w:val="24"/>
          <w:lang w:bidi="ar"/>
        </w:rPr>
        <w:t>JJF 1219-2009 激光测振仪校准规范</w:t>
      </w:r>
    </w:p>
    <w:p w14:paraId="6BBB8BF2">
      <w:pPr>
        <w:widowControl w:val="0"/>
        <w:snapToGrid w:val="0"/>
        <w:rPr>
          <w:rFonts w:cs="Times New Roman"/>
          <w:szCs w:val="24"/>
          <w:lang w:bidi="ar"/>
        </w:rPr>
      </w:pPr>
      <w:r>
        <w:rPr>
          <w:rFonts w:hint="eastAsia" w:cs="Times New Roman"/>
          <w:szCs w:val="24"/>
          <w:lang w:bidi="ar"/>
        </w:rPr>
        <w:t>ISO 16063-41:2011 振动与冲击传感器检测方法 第41部分：激光振动计的检测</w:t>
      </w:r>
    </w:p>
    <w:p w14:paraId="4DBE8B28">
      <w:pPr>
        <w:widowControl w:val="0"/>
        <w:snapToGrid w:val="0"/>
        <w:rPr>
          <w:rFonts w:cs="Times New Roman"/>
          <w:szCs w:val="24"/>
          <w:lang w:bidi="ar"/>
        </w:rPr>
      </w:pPr>
      <w:r>
        <w:rPr>
          <w:rFonts w:hint="eastAsia" w:cs="Times New Roman"/>
          <w:szCs w:val="24"/>
          <w:lang w:bidi="ar"/>
        </w:rPr>
        <w:t>GB/T 8170-2008 数值修约规则与极限数值的表示和判定</w:t>
      </w:r>
    </w:p>
    <w:p w14:paraId="431CD53B">
      <w:pPr>
        <w:pStyle w:val="31"/>
        <w:spacing w:before="312" w:after="312"/>
        <w:outlineLvl w:val="0"/>
        <w:rPr>
          <w:rFonts w:cs="黑体"/>
          <w:szCs w:val="21"/>
        </w:rPr>
      </w:pPr>
      <w:bookmarkStart w:id="33" w:name="_Toc9547"/>
      <w:bookmarkStart w:id="34" w:name="_Toc191565391"/>
      <w:bookmarkStart w:id="35" w:name="_Toc26067"/>
      <w:r>
        <w:rPr>
          <w:rFonts w:hint="eastAsia" w:cs="黑体"/>
          <w:szCs w:val="21"/>
        </w:rPr>
        <w:t>术语</w:t>
      </w:r>
      <w:bookmarkEnd w:id="33"/>
      <w:bookmarkEnd w:id="34"/>
      <w:bookmarkEnd w:id="35"/>
    </w:p>
    <w:p w14:paraId="2B91DEFF">
      <w:pPr>
        <w:pStyle w:val="32"/>
        <w:numPr>
          <w:ilvl w:val="1"/>
          <w:numId w:val="0"/>
        </w:numPr>
        <w:spacing w:before="0" w:beforeLines="0" w:after="0" w:afterLines="0"/>
        <w:rPr>
          <w:rFonts w:hAnsi="Times New Roman"/>
        </w:rPr>
      </w:pPr>
      <w:bookmarkStart w:id="36" w:name="_Toc18370"/>
      <w:bookmarkStart w:id="37" w:name="_Toc191565392"/>
      <w:r>
        <w:rPr>
          <w:rFonts w:hint="eastAsia" w:hAnsi="Times New Roman"/>
        </w:rPr>
        <w:t xml:space="preserve">3.1 </w:t>
      </w:r>
    </w:p>
    <w:p w14:paraId="79ED4144">
      <w:pPr>
        <w:pStyle w:val="32"/>
        <w:numPr>
          <w:ilvl w:val="1"/>
          <w:numId w:val="0"/>
        </w:numPr>
        <w:spacing w:before="0" w:beforeLines="0" w:after="0" w:afterLines="0"/>
        <w:ind w:firstLine="420" w:firstLineChars="200"/>
        <w:rPr>
          <w:rFonts w:hAnsi="Times New Roman"/>
        </w:rPr>
      </w:pPr>
      <w:r>
        <w:rPr>
          <w:rFonts w:hint="eastAsia" w:hAnsi="Times New Roman"/>
        </w:rPr>
        <w:t>激光测振仪（laser vibrometer）</w:t>
      </w:r>
      <w:bookmarkEnd w:id="36"/>
      <w:bookmarkEnd w:id="37"/>
    </w:p>
    <w:p w14:paraId="4C84FF08">
      <w:pPr>
        <w:widowControl w:val="0"/>
        <w:snapToGrid w:val="0"/>
        <w:rPr>
          <w:rFonts w:ascii="宋体" w:hAnsi="宋体" w:cs="Times New Roman"/>
          <w:szCs w:val="21"/>
        </w:rPr>
      </w:pPr>
      <w:r>
        <w:rPr>
          <w:rFonts w:hint="eastAsia" w:ascii="宋体" w:hAnsi="宋体" w:cs="Times New Roman"/>
          <w:szCs w:val="21"/>
        </w:rPr>
        <w:t>利用激光干涉原理，用于精确测量物体振动频率、振动速度等参数且集成激光干涉仪的仪器。</w:t>
      </w:r>
    </w:p>
    <w:p w14:paraId="268A21E4">
      <w:pPr>
        <w:pStyle w:val="31"/>
        <w:spacing w:before="312" w:after="312"/>
        <w:outlineLvl w:val="0"/>
        <w:rPr>
          <w:rFonts w:cs="黑体"/>
          <w:szCs w:val="21"/>
        </w:rPr>
      </w:pPr>
      <w:bookmarkStart w:id="38" w:name="_Toc191565395"/>
      <w:bookmarkStart w:id="39" w:name="_Toc10949"/>
      <w:bookmarkStart w:id="40" w:name="_Toc2585"/>
      <w:r>
        <w:rPr>
          <w:rFonts w:hint="eastAsia" w:cs="黑体"/>
          <w:szCs w:val="21"/>
        </w:rPr>
        <w:t>概述</w:t>
      </w:r>
      <w:bookmarkEnd w:id="38"/>
      <w:bookmarkEnd w:id="39"/>
      <w:bookmarkEnd w:id="40"/>
    </w:p>
    <w:p w14:paraId="3EAA78A7">
      <w:pPr>
        <w:rPr>
          <w:rFonts w:cs="Times New Roman"/>
          <w:szCs w:val="21"/>
        </w:rPr>
      </w:pPr>
      <w:r>
        <w:rPr>
          <w:rFonts w:cs="Times New Roman"/>
          <w:szCs w:val="21"/>
        </w:rPr>
        <w:t>激光测振仪是一种基于激光干涉原理的高精度振动测量仪器，广泛应用于机械振动、声学、材料科学等领域。为了确保激光测振仪在高频范围内的测量精度和可靠性，本文件规定了其高频振动性能的检测方法。通过超声换能器产生20kHz - 2MHz的标准振动信号，检测激光测振仪的频率测量性能及利用信号发生器通过内部信号采集、处理电路特性校准激光测振仪速度幅值性能。此外，本文件还涵盖了不同距离下的检测精度确认的测试方法，以确保激光测振仪在不同应用场景下的频率测量准确性。</w:t>
      </w:r>
    </w:p>
    <w:p w14:paraId="4CF4E95A">
      <w:pPr>
        <w:pStyle w:val="31"/>
        <w:spacing w:before="312" w:after="312"/>
        <w:outlineLvl w:val="0"/>
        <w:rPr>
          <w:rFonts w:cs="黑体"/>
          <w:color w:val="auto"/>
          <w:szCs w:val="21"/>
        </w:rPr>
      </w:pPr>
      <w:bookmarkStart w:id="41" w:name="_Toc30964"/>
      <w:r>
        <w:rPr>
          <w:rFonts w:hint="eastAsia" w:cs="黑体"/>
          <w:color w:val="auto"/>
          <w:szCs w:val="21"/>
        </w:rPr>
        <w:t>检测条件及要求</w:t>
      </w:r>
      <w:bookmarkEnd w:id="41"/>
    </w:p>
    <w:p w14:paraId="2A187EC3">
      <w:pPr>
        <w:pStyle w:val="32"/>
        <w:spacing w:before="156" w:after="156"/>
        <w:rPr>
          <w:rFonts w:hAnsi="Times New Roman"/>
        </w:rPr>
      </w:pPr>
      <w:r>
        <w:rPr>
          <w:rFonts w:hint="eastAsia" w:hAnsi="Times New Roman"/>
        </w:rPr>
        <w:t>环境要求</w:t>
      </w:r>
    </w:p>
    <w:p w14:paraId="58B3C765">
      <w:pPr>
        <w:pStyle w:val="33"/>
        <w:ind w:left="0"/>
        <w:rPr>
          <w:rFonts w:ascii="Times New Roman" w:hAnsi="Times New Roman"/>
        </w:rPr>
      </w:pPr>
      <w:bookmarkStart w:id="42" w:name="_Toc191565398"/>
      <w:bookmarkStart w:id="43" w:name="_Toc16034"/>
      <w:r>
        <w:rPr>
          <w:rFonts w:ascii="Times New Roman" w:hAnsi="Times New Roman"/>
        </w:rPr>
        <w:t>温度：</w:t>
      </w:r>
      <w:r>
        <w:rPr>
          <w:rFonts w:hint="eastAsia" w:ascii="Times New Roman" w:hAnsi="Times New Roman"/>
        </w:rPr>
        <w:t>18</w:t>
      </w:r>
      <w:r>
        <w:rPr>
          <w:rFonts w:ascii="Times New Roman" w:hAnsi="Times New Roman"/>
        </w:rPr>
        <w:t xml:space="preserve"> ℃～</w:t>
      </w:r>
      <w:r>
        <w:rPr>
          <w:rFonts w:hint="eastAsia" w:ascii="Times New Roman" w:hAnsi="Times New Roman"/>
        </w:rPr>
        <w:t>28</w:t>
      </w:r>
      <w:r>
        <w:rPr>
          <w:rFonts w:ascii="Times New Roman" w:hAnsi="Times New Roman"/>
        </w:rPr>
        <w:t xml:space="preserve"> ℃</w:t>
      </w:r>
      <w:r>
        <w:rPr>
          <w:rFonts w:hint="eastAsia" w:ascii="Times New Roman" w:hAnsi="Times New Roman"/>
        </w:rPr>
        <w:t>，</w:t>
      </w:r>
      <w:r>
        <w:rPr>
          <w:rFonts w:ascii="Times New Roman" w:hAnsi="Times New Roman"/>
        </w:rPr>
        <w:t>相对湿度：</w:t>
      </w:r>
      <w:r>
        <w:rPr>
          <w:rFonts w:hint="eastAsia" w:ascii="Times New Roman" w:hAnsi="Times New Roman"/>
        </w:rPr>
        <w:t>≤</w:t>
      </w:r>
      <w:r>
        <w:rPr>
          <w:rFonts w:ascii="Times New Roman" w:hAnsi="Times New Roman"/>
        </w:rPr>
        <w:t>7</w:t>
      </w:r>
      <w:r>
        <w:rPr>
          <w:rFonts w:hint="eastAsia" w:ascii="Times New Roman" w:hAnsi="Times New Roman"/>
        </w:rPr>
        <w:t>5</w:t>
      </w:r>
      <w:r>
        <w:rPr>
          <w:rFonts w:ascii="Times New Roman" w:hAnsi="Times New Roman"/>
        </w:rPr>
        <w:t>%</w:t>
      </w:r>
      <w:r>
        <w:rPr>
          <w:rFonts w:hint="eastAsia" w:ascii="Times New Roman" w:hAnsi="Times New Roman"/>
        </w:rPr>
        <w:t>。</w:t>
      </w:r>
    </w:p>
    <w:p w14:paraId="54A0F96A">
      <w:pPr>
        <w:pStyle w:val="33"/>
        <w:ind w:left="0"/>
        <w:rPr>
          <w:rFonts w:ascii="Times New Roman" w:hAnsi="Times New Roman"/>
        </w:rPr>
      </w:pPr>
      <w:r>
        <w:rPr>
          <w:rFonts w:hint="eastAsia" w:ascii="Times New Roman" w:hAnsi="Times New Roman"/>
          <w:lang w:val="en-US" w:eastAsia="zh-CN"/>
        </w:rPr>
        <w:t>检测</w:t>
      </w:r>
      <w:r>
        <w:rPr>
          <w:rFonts w:hint="eastAsia" w:ascii="Times New Roman" w:hAnsi="Times New Roman"/>
        </w:rPr>
        <w:t>过程中，周围应无影响激光测振仪及其校准系统正常工作的振动、冲击、电磁辐射及强光等。</w:t>
      </w:r>
      <w:bookmarkEnd w:id="42"/>
      <w:bookmarkEnd w:id="43"/>
    </w:p>
    <w:p w14:paraId="3613018A">
      <w:pPr>
        <w:pStyle w:val="32"/>
        <w:spacing w:before="156" w:after="156"/>
        <w:rPr>
          <w:rFonts w:hAnsi="Times New Roman"/>
        </w:rPr>
      </w:pPr>
      <w:r>
        <w:rPr>
          <w:rFonts w:hint="eastAsia" w:hAnsi="Times New Roman"/>
        </w:rPr>
        <w:t>测量仪器</w:t>
      </w:r>
    </w:p>
    <w:p w14:paraId="3733D696">
      <w:r>
        <w:t>标准器及主要配套设备的性能要求如下：</w:t>
      </w:r>
    </w:p>
    <w:p w14:paraId="36EEB53C">
      <w:pPr>
        <w:pStyle w:val="34"/>
        <w:spacing w:before="156" w:after="156"/>
      </w:pPr>
      <w:r>
        <w:rPr>
          <w:rFonts w:hint="eastAsia"/>
        </w:rPr>
        <w:t>超声换能器</w:t>
      </w:r>
    </w:p>
    <w:p w14:paraId="163722AC">
      <w:pPr>
        <w:pStyle w:val="20"/>
        <w:rPr>
          <w:rFonts w:ascii="Times New Roman"/>
        </w:rPr>
      </w:pPr>
      <w:r>
        <w:rPr>
          <w:rFonts w:ascii="Times New Roman"/>
        </w:rPr>
        <w:t>频率范围：20 kHz～2 MHz。</w:t>
      </w:r>
    </w:p>
    <w:p w14:paraId="6E6FD4DD">
      <w:pPr>
        <w:pStyle w:val="34"/>
        <w:spacing w:before="156" w:after="156"/>
      </w:pPr>
      <w:r>
        <w:rPr>
          <w:rFonts w:hint="eastAsia"/>
        </w:rPr>
        <w:t>信号发生器</w:t>
      </w:r>
    </w:p>
    <w:p w14:paraId="7DFC3003">
      <w:pPr>
        <w:pStyle w:val="20"/>
        <w:rPr>
          <w:rFonts w:ascii="Times New Roman"/>
        </w:rPr>
      </w:pPr>
      <w:r>
        <w:rPr>
          <w:rFonts w:ascii="Times New Roman"/>
        </w:rPr>
        <w:t>频率范围：10 Hz～10 MHz；输出波形：标准正弦波，总失真不大于0.1%。</w:t>
      </w:r>
    </w:p>
    <w:p w14:paraId="1D571A97">
      <w:pPr>
        <w:pStyle w:val="34"/>
        <w:spacing w:before="156" w:after="156"/>
      </w:pPr>
      <w:r>
        <w:rPr>
          <w:rFonts w:hint="eastAsia"/>
        </w:rPr>
        <w:t>激光棱镜</w:t>
      </w:r>
    </w:p>
    <w:p w14:paraId="44186EE9">
      <w:pPr>
        <w:pStyle w:val="20"/>
        <w:rPr>
          <w:rFonts w:ascii="Times New Roman"/>
        </w:rPr>
      </w:pPr>
      <w:r>
        <w:rPr>
          <w:rFonts w:ascii="Times New Roman"/>
        </w:rPr>
        <w:t>反射率：≥99%；稳定性：≤0.1 μm。</w:t>
      </w:r>
    </w:p>
    <w:p w14:paraId="56A25E73">
      <w:pPr>
        <w:pStyle w:val="34"/>
        <w:spacing w:before="156" w:after="156"/>
      </w:pPr>
      <w:r>
        <w:rPr>
          <w:rFonts w:hint="eastAsia"/>
        </w:rPr>
        <w:t>温湿度表</w:t>
      </w:r>
    </w:p>
    <w:p w14:paraId="71A23E08">
      <w:pPr>
        <w:pStyle w:val="33"/>
        <w:numPr>
          <w:ilvl w:val="2"/>
          <w:numId w:val="0"/>
        </w:numPr>
        <w:ind w:firstLine="420" w:firstLineChars="200"/>
        <w:rPr>
          <w:rFonts w:ascii="Times New Roman" w:hAnsi="Times New Roman"/>
        </w:rPr>
      </w:pPr>
      <w:r>
        <w:rPr>
          <w:rFonts w:ascii="Times New Roman" w:hAnsi="Times New Roman"/>
        </w:rPr>
        <w:t>温度测量范围：15 ℃～35 ℃，最大允许误差：±0.5 ℃；相对湿度测量范围：30%～75%，最大允许误差：±10%。</w:t>
      </w:r>
    </w:p>
    <w:p w14:paraId="685C1E8F">
      <w:pPr>
        <w:pStyle w:val="31"/>
        <w:spacing w:before="312" w:after="312"/>
        <w:outlineLvl w:val="0"/>
        <w:rPr>
          <w:rFonts w:cs="黑体"/>
          <w:color w:val="auto"/>
          <w:szCs w:val="21"/>
        </w:rPr>
      </w:pPr>
      <w:bookmarkStart w:id="44" w:name="_Toc191565402"/>
      <w:bookmarkStart w:id="45" w:name="_Toc1440"/>
      <w:bookmarkStart w:id="46" w:name="_Toc6092"/>
      <w:r>
        <w:rPr>
          <w:rFonts w:hint="eastAsia" w:cs="黑体"/>
          <w:color w:val="auto"/>
          <w:szCs w:val="21"/>
        </w:rPr>
        <w:t>检测</w:t>
      </w:r>
      <w:bookmarkEnd w:id="44"/>
      <w:bookmarkEnd w:id="45"/>
      <w:r>
        <w:rPr>
          <w:rFonts w:hint="eastAsia" w:cs="黑体"/>
          <w:color w:val="auto"/>
          <w:szCs w:val="21"/>
        </w:rPr>
        <w:t>方法</w:t>
      </w:r>
      <w:bookmarkEnd w:id="46"/>
    </w:p>
    <w:p w14:paraId="275BF4E2">
      <w:pPr>
        <w:pStyle w:val="32"/>
        <w:spacing w:before="156" w:after="156"/>
        <w:rPr>
          <w:rFonts w:hAnsi="Times New Roman"/>
          <w:color w:val="auto"/>
        </w:rPr>
      </w:pPr>
      <w:r>
        <w:rPr>
          <w:rFonts w:hint="eastAsia" w:hAnsi="Times New Roman"/>
          <w:color w:val="auto"/>
        </w:rPr>
        <w:t>振动频率示值误差</w:t>
      </w:r>
    </w:p>
    <w:p w14:paraId="18766F4C">
      <w:pPr>
        <w:pStyle w:val="34"/>
        <w:spacing w:before="156" w:after="156"/>
        <w:rPr>
          <w:color w:val="auto"/>
        </w:rPr>
      </w:pPr>
      <w:r>
        <w:rPr>
          <w:rFonts w:hint="eastAsia"/>
          <w:color w:val="auto"/>
        </w:rPr>
        <w:t>检测装置</w:t>
      </w:r>
    </w:p>
    <w:p w14:paraId="31CC71D2">
      <w:pPr>
        <w:pStyle w:val="33"/>
        <w:numPr>
          <w:ilvl w:val="2"/>
          <w:numId w:val="0"/>
        </w:numPr>
        <w:ind w:firstLine="420" w:firstLineChars="200"/>
        <w:rPr>
          <w:rFonts w:ascii="Times New Roman" w:hAnsi="Times New Roman"/>
          <w:color w:val="auto"/>
          <w:kern w:val="2"/>
          <w:szCs w:val="24"/>
        </w:rPr>
      </w:pPr>
      <w:r>
        <w:rPr>
          <w:rFonts w:hint="eastAsia" w:ascii="Times New Roman" w:hAnsi="Times New Roman"/>
          <w:color w:val="auto"/>
          <w:kern w:val="2"/>
          <w:szCs w:val="24"/>
        </w:rPr>
        <w:t>振动频率检测装置框图见图1。</w:t>
      </w:r>
    </w:p>
    <w:p w14:paraId="794C6EE9">
      <w:pPr>
        <w:pStyle w:val="33"/>
        <w:numPr>
          <w:ilvl w:val="2"/>
          <w:numId w:val="0"/>
        </w:numPr>
        <w:jc w:val="center"/>
        <w:rPr>
          <w:rFonts w:hAnsi="宋体" w:cs="黑体"/>
          <w:color w:val="auto"/>
        </w:rPr>
      </w:pPr>
      <w:r>
        <w:rPr>
          <w:color w:val="auto"/>
        </w:rPr>
        <w:drawing>
          <wp:inline distT="0" distB="0" distL="114300" distR="114300">
            <wp:extent cx="4090670" cy="723900"/>
            <wp:effectExtent l="0" t="0" r="889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4090670" cy="723900"/>
                    </a:xfrm>
                    <a:prstGeom prst="rect">
                      <a:avLst/>
                    </a:prstGeom>
                    <a:noFill/>
                    <a:ln>
                      <a:noFill/>
                    </a:ln>
                  </pic:spPr>
                </pic:pic>
              </a:graphicData>
            </a:graphic>
          </wp:inline>
        </w:drawing>
      </w:r>
    </w:p>
    <w:p w14:paraId="0246855E">
      <w:pPr>
        <w:pStyle w:val="20"/>
        <w:tabs>
          <w:tab w:val="center" w:pos="4201"/>
          <w:tab w:val="left" w:pos="7649"/>
        </w:tabs>
        <w:spacing w:before="156" w:beforeLines="50" w:after="156" w:afterLines="50"/>
        <w:ind w:firstLine="0" w:firstLineChars="0"/>
        <w:jc w:val="center"/>
        <w:rPr>
          <w:rFonts w:ascii="黑体" w:hAnsi="黑体" w:eastAsia="黑体"/>
          <w:color w:val="auto"/>
        </w:rPr>
      </w:pPr>
      <w:r>
        <w:rPr>
          <w:rFonts w:hint="eastAsia" w:ascii="黑体" w:hAnsi="黑体" w:eastAsia="黑体"/>
          <w:color w:val="auto"/>
        </w:rPr>
        <w:t>图1振动频率示值误差</w:t>
      </w:r>
      <w:r>
        <w:rPr>
          <w:rFonts w:hint="eastAsia" w:ascii="黑体" w:hAnsi="黑体" w:eastAsia="黑体"/>
          <w:color w:val="auto"/>
          <w:lang w:val="en-US" w:eastAsia="zh-CN"/>
        </w:rPr>
        <w:t>检测</w:t>
      </w:r>
      <w:r>
        <w:rPr>
          <w:rFonts w:hint="eastAsia" w:ascii="黑体" w:hAnsi="黑体" w:eastAsia="黑体"/>
          <w:color w:val="auto"/>
        </w:rPr>
        <w:t>示意图</w:t>
      </w:r>
    </w:p>
    <w:p w14:paraId="5EB03234">
      <w:pPr>
        <w:pStyle w:val="34"/>
        <w:spacing w:before="156" w:after="156"/>
      </w:pPr>
      <w:r>
        <w:rPr>
          <w:rFonts w:hint="eastAsia"/>
        </w:rPr>
        <w:t>检测步骤</w:t>
      </w:r>
    </w:p>
    <w:p w14:paraId="5E8B18B6">
      <w:pPr>
        <w:widowControl w:val="0"/>
        <w:numPr>
          <w:ilvl w:val="0"/>
          <w:numId w:val="3"/>
        </w:numPr>
        <w:rPr>
          <w:rFonts w:cs="Times New Roman"/>
          <w:szCs w:val="24"/>
        </w:rPr>
      </w:pPr>
      <w:r>
        <w:rPr>
          <w:rFonts w:hint="eastAsia" w:cs="Times New Roman"/>
          <w:szCs w:val="24"/>
        </w:rPr>
        <w:t>如图1所示，将超声换能器与激光测振仪安装在实验台适当位置上，激光测振仪与振源同轴且距离为20 m。</w:t>
      </w:r>
    </w:p>
    <w:p w14:paraId="7897ED9A">
      <w:pPr>
        <w:widowControl w:val="0"/>
        <w:numPr>
          <w:ilvl w:val="0"/>
          <w:numId w:val="3"/>
        </w:numPr>
        <w:rPr>
          <w:rFonts w:cs="Times New Roman"/>
          <w:szCs w:val="24"/>
        </w:rPr>
      </w:pPr>
      <w:r>
        <w:rPr>
          <w:rFonts w:hint="eastAsia" w:cs="Times New Roman"/>
          <w:szCs w:val="24"/>
        </w:rPr>
        <w:t>调节信号发生器输出标准正弦信号，频率范围为20 kHz～2 MHz，确保激光测振仪检测到稳定的振动信号。</w:t>
      </w:r>
    </w:p>
    <w:p w14:paraId="6758CC46">
      <w:pPr>
        <w:widowControl w:val="0"/>
        <w:numPr>
          <w:ilvl w:val="0"/>
          <w:numId w:val="3"/>
        </w:numPr>
        <w:rPr>
          <w:rFonts w:cs="Times New Roman"/>
          <w:szCs w:val="24"/>
        </w:rPr>
      </w:pPr>
      <w:r>
        <w:rPr>
          <w:rFonts w:hint="eastAsia" w:cs="Times New Roman"/>
          <w:szCs w:val="24"/>
        </w:rPr>
        <w:t>对于频率范围可调的激光测振仪，使被校频率位于激光测振仪的工作频率范围内。逐渐调节信号发生器的频率，记录激光测振仪在不同频率点的频率测量值。</w:t>
      </w:r>
    </w:p>
    <w:p w14:paraId="38E8AD90">
      <w:pPr>
        <w:widowControl w:val="0"/>
        <w:numPr>
          <w:ilvl w:val="0"/>
          <w:numId w:val="3"/>
        </w:numPr>
        <w:rPr>
          <w:rFonts w:cs="Times New Roman"/>
          <w:szCs w:val="24"/>
        </w:rPr>
      </w:pPr>
      <w:r>
        <w:rPr>
          <w:rFonts w:hint="eastAsia" w:cs="Times New Roman"/>
          <w:szCs w:val="24"/>
        </w:rPr>
        <w:t>计算激光测振仪频率测量值与频率参考值的相对误差。</w:t>
      </w:r>
    </w:p>
    <w:p w14:paraId="682EC15C">
      <w:pPr>
        <w:widowControl w:val="0"/>
        <w:numPr>
          <w:ilvl w:val="0"/>
          <w:numId w:val="3"/>
        </w:numPr>
        <w:rPr>
          <w:rFonts w:cs="Times New Roman"/>
          <w:szCs w:val="24"/>
        </w:rPr>
      </w:pPr>
      <w:r>
        <w:rPr>
          <w:rFonts w:hint="eastAsia" w:cs="Times New Roman"/>
          <w:szCs w:val="24"/>
        </w:rPr>
        <w:t>在标称频率范围内，选择不少于8个频率点（如20 kHz、50 kHz、100 kHz、200 kHz、300 kHz、400 kHz、500 kHz、800 kHz、1 MHz、1.2 MHz、1.5 MHz、1.8 MHz、2 MHz），重复上述a) 至d) 步骤。</w:t>
      </w:r>
    </w:p>
    <w:p w14:paraId="6A2FBFA6">
      <w:pPr>
        <w:pStyle w:val="32"/>
        <w:spacing w:before="156" w:after="156"/>
        <w:rPr>
          <w:rFonts w:hAnsi="Times New Roman"/>
        </w:rPr>
      </w:pPr>
      <w:bookmarkStart w:id="47" w:name="_Toc191565404"/>
      <w:r>
        <w:rPr>
          <w:rFonts w:hint="eastAsia" w:hAnsi="Times New Roman"/>
        </w:rPr>
        <w:t>检测距离</w:t>
      </w:r>
    </w:p>
    <w:p w14:paraId="7B51478A">
      <w:pPr>
        <w:pStyle w:val="34"/>
        <w:spacing w:before="156" w:after="156"/>
        <w:rPr>
          <w:color w:val="auto"/>
        </w:rPr>
      </w:pPr>
      <w:r>
        <w:rPr>
          <w:rFonts w:hint="eastAsia"/>
          <w:color w:val="auto"/>
        </w:rPr>
        <w:t>检测装置</w:t>
      </w:r>
    </w:p>
    <w:p w14:paraId="1D77399C">
      <w:pPr>
        <w:pStyle w:val="33"/>
        <w:numPr>
          <w:ilvl w:val="2"/>
          <w:numId w:val="0"/>
        </w:numPr>
        <w:ind w:firstLine="420" w:firstLineChars="200"/>
        <w:rPr>
          <w:rFonts w:ascii="Times New Roman" w:hAnsi="Times New Roman"/>
          <w:color w:val="auto"/>
          <w:kern w:val="2"/>
          <w:szCs w:val="24"/>
        </w:rPr>
      </w:pPr>
      <w:r>
        <w:rPr>
          <w:rFonts w:hint="eastAsia" w:ascii="Times New Roman" w:hAnsi="Times New Roman"/>
          <w:color w:val="auto"/>
          <w:kern w:val="2"/>
          <w:szCs w:val="24"/>
        </w:rPr>
        <w:t>检测距离检测装置框图见图2。</w:t>
      </w:r>
    </w:p>
    <w:p w14:paraId="11199B32">
      <w:pPr>
        <w:pStyle w:val="20"/>
        <w:ind w:firstLine="0" w:firstLineChars="0"/>
        <w:jc w:val="center"/>
      </w:pPr>
      <w:r>
        <w:drawing>
          <wp:inline distT="0" distB="0" distL="114300" distR="114300">
            <wp:extent cx="4081145" cy="1383665"/>
            <wp:effectExtent l="0" t="0" r="3175"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4081145" cy="1383665"/>
                    </a:xfrm>
                    <a:prstGeom prst="rect">
                      <a:avLst/>
                    </a:prstGeom>
                    <a:noFill/>
                    <a:ln>
                      <a:noFill/>
                    </a:ln>
                  </pic:spPr>
                </pic:pic>
              </a:graphicData>
            </a:graphic>
          </wp:inline>
        </w:drawing>
      </w:r>
    </w:p>
    <w:p w14:paraId="3AC24315">
      <w:pPr>
        <w:jc w:val="center"/>
        <w:rPr>
          <w:rFonts w:ascii="黑体" w:hAnsi="黑体" w:eastAsia="黑体" w:cs="Times New Roman"/>
          <w:color w:val="auto"/>
          <w:kern w:val="0"/>
        </w:rPr>
      </w:pPr>
      <w:r>
        <w:rPr>
          <w:rFonts w:hint="eastAsia" w:ascii="黑体" w:hAnsi="黑体" w:eastAsia="黑体" w:cs="Times New Roman"/>
          <w:color w:val="auto"/>
          <w:kern w:val="0"/>
        </w:rPr>
        <w:t>图2 检测距离校准示意图</w:t>
      </w:r>
    </w:p>
    <w:p w14:paraId="00A8E260">
      <w:pPr>
        <w:pStyle w:val="34"/>
        <w:spacing w:before="156" w:after="156"/>
        <w:rPr>
          <w:color w:val="auto"/>
        </w:rPr>
      </w:pPr>
      <w:r>
        <w:rPr>
          <w:rFonts w:hint="eastAsia"/>
          <w:color w:val="auto"/>
        </w:rPr>
        <w:t>检测步骤</w:t>
      </w:r>
    </w:p>
    <w:p w14:paraId="7837D5B6">
      <w:pPr>
        <w:widowControl w:val="0"/>
        <w:numPr>
          <w:ilvl w:val="0"/>
          <w:numId w:val="4"/>
        </w:numPr>
        <w:rPr>
          <w:rFonts w:cs="Times New Roman"/>
          <w:szCs w:val="24"/>
        </w:rPr>
      </w:pPr>
      <w:r>
        <w:rPr>
          <w:rFonts w:hint="eastAsia" w:cs="Times New Roman"/>
          <w:szCs w:val="24"/>
        </w:rPr>
        <w:t>如图2所示，将压超声换能器与激光测振仪安装在实验台适当位置上，激光测振仪与振源同轴且距离为20 m。</w:t>
      </w:r>
    </w:p>
    <w:p w14:paraId="7C6378F0">
      <w:pPr>
        <w:widowControl w:val="0"/>
        <w:numPr>
          <w:ilvl w:val="0"/>
          <w:numId w:val="4"/>
        </w:numPr>
        <w:rPr>
          <w:rFonts w:cs="Times New Roman"/>
          <w:szCs w:val="24"/>
        </w:rPr>
      </w:pPr>
      <w:r>
        <w:rPr>
          <w:rFonts w:hint="eastAsia" w:cs="Times New Roman"/>
          <w:szCs w:val="24"/>
        </w:rPr>
        <w:t>调节信号发生器输出标准正弦信号，频率分别为20 kHz、500 kHz和2 MHz，确保激光测振仪检测到稳定的振动信号。</w:t>
      </w:r>
    </w:p>
    <w:p w14:paraId="39E62AC8">
      <w:pPr>
        <w:widowControl w:val="0"/>
        <w:numPr>
          <w:ilvl w:val="0"/>
          <w:numId w:val="4"/>
        </w:numPr>
        <w:rPr>
          <w:rFonts w:cs="Times New Roman"/>
          <w:szCs w:val="24"/>
        </w:rPr>
      </w:pPr>
      <w:r>
        <w:rPr>
          <w:rFonts w:hint="eastAsia" w:cs="Times New Roman"/>
          <w:szCs w:val="24"/>
        </w:rPr>
        <w:t>通过调节棱镜分布(如场地空间足够，可不用棱镜)，在50米和100米激光路程下，重复上述a)至b)步骤。</w:t>
      </w:r>
    </w:p>
    <w:bookmarkEnd w:id="47"/>
    <w:p w14:paraId="4D89E80F">
      <w:pPr>
        <w:pStyle w:val="32"/>
        <w:spacing w:before="156" w:after="156"/>
        <w:rPr>
          <w:rFonts w:hAnsi="Times New Roman"/>
        </w:rPr>
      </w:pPr>
      <w:r>
        <w:rPr>
          <w:rFonts w:hint="eastAsia" w:hAnsi="Times New Roman"/>
        </w:rPr>
        <w:t>激光测振仪速度幅值校准</w:t>
      </w:r>
    </w:p>
    <w:p w14:paraId="76A290B9">
      <w:pPr>
        <w:rPr>
          <w:rFonts w:cs="Times New Roman"/>
          <w:kern w:val="0"/>
        </w:rPr>
      </w:pPr>
      <w:r>
        <w:rPr>
          <w:rFonts w:hint="eastAsia" w:cs="Times New Roman"/>
          <w:kern w:val="0"/>
        </w:rPr>
        <w:t>激光测振仪速度幅值校准是对其内部信号采集、处理电路部分使用正弦波信号或者正弦调制信号代替激光测振仪的激光干涉仪输出，对其信号采集、处理电路进行激励，获得其相应参量的校准结果。</w:t>
      </w:r>
    </w:p>
    <w:p w14:paraId="0EA823A6">
      <w:pPr>
        <w:rPr>
          <w:rFonts w:cs="Times New Roman"/>
          <w:kern w:val="0"/>
        </w:rPr>
      </w:pPr>
      <w:r>
        <w:rPr>
          <w:rFonts w:hint="eastAsia" w:cs="Times New Roman"/>
          <w:kern w:val="0"/>
        </w:rPr>
        <w:t>激光测速度的原理依赖于瞬时多普勒偏移频率</w:t>
      </w:r>
      <w:r>
        <w:rPr>
          <w:rFonts w:cs="Times New Roman"/>
          <w:i/>
          <w:iCs/>
          <w:kern w:val="0"/>
        </w:rPr>
        <w:t>f</w:t>
      </w:r>
      <w:r>
        <w:rPr>
          <w:rFonts w:cs="Times New Roman"/>
          <w:kern w:val="0"/>
          <w:vertAlign w:val="subscript"/>
        </w:rPr>
        <w:t>D</w:t>
      </w:r>
      <w:r>
        <w:rPr>
          <w:rFonts w:cs="Times New Roman"/>
          <w:kern w:val="0"/>
        </w:rPr>
        <w:t>(</w:t>
      </w:r>
      <w:r>
        <w:rPr>
          <w:rFonts w:cs="Times New Roman"/>
          <w:i/>
          <w:iCs/>
          <w:kern w:val="0"/>
        </w:rPr>
        <w:t>t</w:t>
      </w:r>
      <w:r>
        <w:rPr>
          <w:rFonts w:cs="Times New Roman"/>
          <w:kern w:val="0"/>
        </w:rPr>
        <w:t>)</w:t>
      </w:r>
      <w:r>
        <w:rPr>
          <w:rFonts w:hint="eastAsia" w:cs="Times New Roman"/>
          <w:kern w:val="0"/>
        </w:rPr>
        <w:t>的确定，它与物体振动线速度</w:t>
      </w:r>
      <w:r>
        <w:rPr>
          <w:rFonts w:hint="eastAsia" w:cs="Times New Roman"/>
          <w:i/>
          <w:iCs/>
          <w:kern w:val="0"/>
        </w:rPr>
        <w:t>v</w:t>
      </w:r>
      <w:r>
        <w:rPr>
          <w:rFonts w:hint="eastAsia" w:cs="Times New Roman"/>
          <w:kern w:val="0"/>
        </w:rPr>
        <w:t>(</w:t>
      </w:r>
      <w:r>
        <w:rPr>
          <w:rFonts w:hint="eastAsia" w:cs="Times New Roman"/>
          <w:i/>
          <w:iCs/>
          <w:kern w:val="0"/>
        </w:rPr>
        <w:t>t</w:t>
      </w:r>
      <w:r>
        <w:rPr>
          <w:rFonts w:hint="eastAsia" w:cs="Times New Roman"/>
          <w:kern w:val="0"/>
        </w:rPr>
        <w:t>)成正比。</w:t>
      </w:r>
    </w:p>
    <w:p w14:paraId="08097663">
      <w:pPr>
        <w:wordWrap w:val="0"/>
        <w:ind w:firstLine="560"/>
        <w:jc w:val="right"/>
        <w:rPr>
          <w:rFonts w:ascii="宋体" w:hAnsi="宋体" w:cs="宋体"/>
          <w:color w:val="auto"/>
        </w:rPr>
      </w:pPr>
      <w:r>
        <w:rPr>
          <w:color w:val="auto"/>
          <w:position w:val="-24"/>
          <w:sz w:val="28"/>
        </w:rPr>
        <w:object>
          <v:shape id="_x0000_i1025" o:spt="75" type="#_x0000_t75" style="height:31.2pt;width:63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color w:val="auto"/>
          <w:szCs w:val="22"/>
        </w:rPr>
        <w:t xml:space="preserve">        </w:t>
      </w:r>
      <w:r>
        <w:rPr>
          <w:rFonts w:hint="eastAsia" w:ascii="宋体" w:hAnsi="宋体" w:cs="宋体"/>
          <w:color w:val="auto"/>
          <w:lang w:bidi="ar"/>
        </w:rPr>
        <w:t>…………………………</w:t>
      </w:r>
      <w:r>
        <w:rPr>
          <w:rFonts w:hint="eastAsia" w:ascii="宋体" w:hAnsi="宋体" w:cs="宋体"/>
          <w:color w:val="auto"/>
        </w:rPr>
        <w:t>（</w:t>
      </w:r>
      <w:r>
        <w:rPr>
          <w:rFonts w:hint="default" w:ascii="Times New Roman" w:hAnsi="Times New Roman" w:cs="Times New Roman"/>
          <w:color w:val="auto"/>
        </w:rPr>
        <w:t>1</w:t>
      </w:r>
      <w:r>
        <w:rPr>
          <w:rFonts w:hint="eastAsia" w:ascii="宋体" w:hAnsi="宋体" w:cs="宋体"/>
          <w:color w:val="auto"/>
        </w:rPr>
        <w:t>）</w:t>
      </w:r>
    </w:p>
    <w:p w14:paraId="06B93420">
      <w:pPr>
        <w:jc w:val="left"/>
        <w:rPr>
          <w:rFonts w:ascii="宋体" w:hAnsi="宋体" w:cs="宋体"/>
          <w:color w:val="auto"/>
        </w:rPr>
      </w:pPr>
      <w:r>
        <w:rPr>
          <w:rFonts w:hint="eastAsia" w:ascii="宋体" w:hAnsi="宋体" w:cs="宋体"/>
          <w:color w:val="auto"/>
        </w:rPr>
        <w:t>式中：</w:t>
      </w:r>
    </w:p>
    <w:p w14:paraId="374464A4">
      <w:pPr>
        <w:jc w:val="left"/>
        <w:rPr>
          <w:rFonts w:cs="Times New Roman"/>
          <w:color w:val="auto"/>
          <w:szCs w:val="22"/>
        </w:rPr>
      </w:pPr>
      <w:r>
        <w:rPr>
          <w:rFonts w:cs="Times New Roman"/>
          <w:i/>
          <w:iCs/>
          <w:color w:val="auto"/>
        </w:rPr>
        <w:t>f</w:t>
      </w:r>
      <w:r>
        <w:rPr>
          <w:rFonts w:cs="Times New Roman"/>
          <w:color w:val="auto"/>
          <w:vertAlign w:val="subscript"/>
        </w:rPr>
        <w:t>D</w:t>
      </w:r>
      <w:r>
        <w:rPr>
          <w:rFonts w:cs="Times New Roman"/>
          <w:color w:val="auto"/>
        </w:rPr>
        <w:t>(</w:t>
      </w:r>
      <w:r>
        <w:rPr>
          <w:rFonts w:cs="Times New Roman"/>
          <w:i/>
          <w:iCs/>
          <w:color w:val="auto"/>
        </w:rPr>
        <w:t>t</w:t>
      </w:r>
      <w:r>
        <w:rPr>
          <w:rFonts w:cs="Times New Roman"/>
          <w:color w:val="auto"/>
        </w:rPr>
        <w:t>) ——</w:t>
      </w:r>
      <w:r>
        <w:rPr>
          <w:rFonts w:cs="Times New Roman"/>
          <w:color w:val="auto"/>
          <w:szCs w:val="22"/>
        </w:rPr>
        <w:t>瞬时多普勒偏移频率，单位</w:t>
      </w:r>
      <w:r>
        <w:rPr>
          <w:rFonts w:hint="eastAsia" w:cs="Times New Roman"/>
          <w:color w:val="auto"/>
          <w:szCs w:val="22"/>
        </w:rPr>
        <w:t>Hz</w:t>
      </w:r>
      <w:r>
        <w:rPr>
          <w:rFonts w:cs="Times New Roman"/>
          <w:color w:val="auto"/>
          <w:szCs w:val="22"/>
        </w:rPr>
        <w:t>;</w:t>
      </w:r>
    </w:p>
    <w:p w14:paraId="48805637">
      <w:pPr>
        <w:jc w:val="left"/>
        <w:rPr>
          <w:rFonts w:cs="Times New Roman"/>
          <w:color w:val="auto"/>
        </w:rPr>
      </w:pPr>
      <w:r>
        <w:rPr>
          <w:rFonts w:hint="eastAsia" w:cs="Times New Roman"/>
          <w:i/>
          <w:iCs/>
          <w:color w:val="auto"/>
          <w:szCs w:val="22"/>
        </w:rPr>
        <w:t>v</w:t>
      </w:r>
      <w:r>
        <w:rPr>
          <w:rFonts w:cs="Times New Roman"/>
          <w:color w:val="auto"/>
          <w:szCs w:val="22"/>
        </w:rPr>
        <w:t>(</w:t>
      </w:r>
      <w:r>
        <w:rPr>
          <w:rFonts w:cs="Times New Roman"/>
          <w:i/>
          <w:iCs/>
          <w:color w:val="auto"/>
          <w:szCs w:val="22"/>
        </w:rPr>
        <w:t>t</w:t>
      </w:r>
      <w:r>
        <w:rPr>
          <w:rFonts w:cs="Times New Roman"/>
          <w:color w:val="auto"/>
          <w:szCs w:val="22"/>
        </w:rPr>
        <w:t xml:space="preserve">) </w:t>
      </w:r>
      <w:r>
        <w:rPr>
          <w:rFonts w:cs="Times New Roman"/>
          <w:color w:val="auto"/>
        </w:rPr>
        <w:t>——物体振动线速度，单位</w:t>
      </w:r>
      <w:r>
        <w:rPr>
          <w:rFonts w:hint="eastAsia" w:cs="Times New Roman"/>
          <w:color w:val="auto"/>
        </w:rPr>
        <w:t>mm/s</w:t>
      </w:r>
      <w:r>
        <w:rPr>
          <w:rFonts w:cs="Times New Roman"/>
          <w:color w:val="auto"/>
        </w:rPr>
        <w:t>；</w:t>
      </w:r>
    </w:p>
    <w:p w14:paraId="709ABC66">
      <w:pPr>
        <w:jc w:val="left"/>
        <w:rPr>
          <w:rFonts w:cs="Times New Roman"/>
          <w:color w:val="auto"/>
        </w:rPr>
      </w:pPr>
      <w:r>
        <w:rPr>
          <w:rFonts w:cs="Times New Roman"/>
          <w:color w:val="auto"/>
        </w:rPr>
        <w:t>Δ</w:t>
      </w:r>
      <w:r>
        <w:rPr>
          <w:rFonts w:cs="Times New Roman"/>
          <w:i/>
          <w:iCs/>
          <w:color w:val="auto"/>
        </w:rPr>
        <w:t>s</w:t>
      </w:r>
      <w:r>
        <w:rPr>
          <w:rFonts w:cs="Times New Roman"/>
          <w:color w:val="auto"/>
        </w:rPr>
        <w:t xml:space="preserve"> ——</w:t>
      </w:r>
      <w:r>
        <w:rPr>
          <w:rFonts w:hint="eastAsia" w:cs="Times New Roman"/>
          <w:color w:val="auto"/>
        </w:rPr>
        <w:t>相邻激光干涉条纹间距对应的目标位移量，该值由式（2）确定，单位nm。</w:t>
      </w:r>
    </w:p>
    <w:p w14:paraId="0DDB578E">
      <w:pPr>
        <w:wordWrap w:val="0"/>
        <w:jc w:val="right"/>
        <w:rPr>
          <w:color w:val="auto"/>
          <w:szCs w:val="22"/>
        </w:rPr>
      </w:pPr>
      <w:r>
        <w:rPr>
          <w:rFonts w:hint="eastAsia"/>
          <w:color w:val="auto"/>
          <w:szCs w:val="22"/>
        </w:rPr>
        <w:t xml:space="preserve"> </w:t>
      </w:r>
      <w:r>
        <w:rPr>
          <w:color w:val="auto"/>
          <w:position w:val="-24"/>
          <w:sz w:val="28"/>
        </w:rPr>
        <w:object>
          <v:shape id="_x0000_i1026" o:spt="75" type="#_x0000_t75" style="height:31.25pt;width:37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6" r:id="rId19">
            <o:LockedField>false</o:LockedField>
          </o:OLEObject>
        </w:object>
      </w:r>
      <w:r>
        <w:rPr>
          <w:rFonts w:hint="eastAsia"/>
          <w:color w:val="auto"/>
          <w:szCs w:val="22"/>
        </w:rPr>
        <w:t xml:space="preserve">           </w:t>
      </w:r>
      <w:r>
        <w:rPr>
          <w:rFonts w:hint="eastAsia" w:ascii="宋体" w:hAnsi="宋体" w:cs="宋体"/>
          <w:color w:val="auto"/>
          <w:lang w:bidi="ar"/>
        </w:rPr>
        <w:t>…………………………</w:t>
      </w:r>
      <w:r>
        <w:rPr>
          <w:rFonts w:hint="eastAsia" w:ascii="宋体" w:hAnsi="宋体" w:cs="宋体"/>
          <w:color w:val="auto"/>
        </w:rPr>
        <w:t>（</w:t>
      </w:r>
      <w:r>
        <w:rPr>
          <w:rFonts w:hint="default" w:ascii="Times New Roman" w:hAnsi="Times New Roman" w:cs="Times New Roman"/>
          <w:color w:val="auto"/>
        </w:rPr>
        <w:t>2</w:t>
      </w:r>
      <w:r>
        <w:rPr>
          <w:rFonts w:hint="eastAsia" w:ascii="宋体" w:hAnsi="宋体" w:cs="宋体"/>
          <w:color w:val="auto"/>
        </w:rPr>
        <w:t>）</w:t>
      </w:r>
    </w:p>
    <w:p w14:paraId="61886F91">
      <w:pPr>
        <w:jc w:val="left"/>
        <w:rPr>
          <w:rFonts w:ascii="宋体" w:hAnsi="宋体" w:cs="宋体"/>
          <w:color w:val="auto"/>
        </w:rPr>
      </w:pPr>
      <w:r>
        <w:rPr>
          <w:rFonts w:hint="eastAsia" w:ascii="宋体" w:hAnsi="宋体" w:cs="宋体"/>
          <w:color w:val="auto"/>
        </w:rPr>
        <w:t>式中：</w:t>
      </w:r>
    </w:p>
    <w:p w14:paraId="1A096DC4">
      <w:pPr>
        <w:jc w:val="left"/>
        <w:rPr>
          <w:rFonts w:cs="Times New Roman"/>
          <w:color w:val="auto"/>
          <w:szCs w:val="22"/>
        </w:rPr>
      </w:pPr>
      <w:r>
        <w:rPr>
          <w:rFonts w:cs="Times New Roman"/>
          <w:i/>
          <w:iCs/>
          <w:color w:val="auto"/>
        </w:rPr>
        <w:t>λ</w:t>
      </w:r>
      <w:r>
        <w:rPr>
          <w:rFonts w:cs="Times New Roman"/>
          <w:color w:val="auto"/>
        </w:rPr>
        <w:t xml:space="preserve"> ——</w:t>
      </w:r>
      <w:r>
        <w:rPr>
          <w:rFonts w:hint="eastAsia" w:cs="Times New Roman"/>
          <w:color w:val="auto"/>
          <w:szCs w:val="22"/>
        </w:rPr>
        <w:t>激光波长</w:t>
      </w:r>
      <w:r>
        <w:rPr>
          <w:rFonts w:cs="Times New Roman"/>
          <w:color w:val="auto"/>
          <w:szCs w:val="22"/>
        </w:rPr>
        <w:t>，单位</w:t>
      </w:r>
      <w:r>
        <w:rPr>
          <w:rFonts w:hint="eastAsia" w:cs="Times New Roman"/>
          <w:color w:val="auto"/>
          <w:szCs w:val="22"/>
        </w:rPr>
        <w:t>nm。</w:t>
      </w:r>
    </w:p>
    <w:p w14:paraId="4C0FCEAA">
      <w:pPr>
        <w:pStyle w:val="34"/>
        <w:numPr>
          <w:ilvl w:val="2"/>
          <w:numId w:val="0"/>
        </w:numPr>
        <w:spacing w:before="156" w:after="156"/>
        <w:rPr>
          <w:color w:val="auto"/>
        </w:rPr>
      </w:pPr>
      <w:r>
        <w:rPr>
          <w:rFonts w:hint="eastAsia"/>
          <w:color w:val="auto"/>
          <w:szCs w:val="22"/>
        </w:rPr>
        <w:t xml:space="preserve">6.3.1 </w:t>
      </w:r>
      <w:r>
        <w:rPr>
          <w:rFonts w:hint="eastAsia"/>
          <w:color w:val="auto"/>
        </w:rPr>
        <w:t>检测装置</w:t>
      </w:r>
    </w:p>
    <w:p w14:paraId="62D752DF">
      <w:pPr>
        <w:pStyle w:val="33"/>
        <w:numPr>
          <w:ilvl w:val="2"/>
          <w:numId w:val="0"/>
        </w:numPr>
        <w:ind w:firstLine="420" w:firstLineChars="200"/>
        <w:rPr>
          <w:rFonts w:ascii="Times New Roman" w:hAnsi="Times New Roman"/>
          <w:color w:val="auto"/>
          <w:kern w:val="2"/>
          <w:szCs w:val="24"/>
        </w:rPr>
      </w:pPr>
      <w:r>
        <w:rPr>
          <w:rFonts w:hint="eastAsia" w:ascii="Times New Roman" w:hAnsi="Times New Roman"/>
          <w:color w:val="auto"/>
          <w:kern w:val="2"/>
          <w:szCs w:val="24"/>
        </w:rPr>
        <w:t>速度幅值检测装置框图见图1。</w:t>
      </w:r>
    </w:p>
    <w:p w14:paraId="71E129D6">
      <w:pPr>
        <w:ind w:firstLine="0" w:firstLineChars="0"/>
        <w:rPr>
          <w:szCs w:val="22"/>
        </w:rPr>
      </w:pPr>
    </w:p>
    <w:p w14:paraId="2EA6FCBF">
      <w:pPr>
        <w:rPr>
          <w:color w:val="auto"/>
          <w:szCs w:val="22"/>
        </w:rPr>
      </w:pPr>
      <w:r>
        <w:rPr>
          <w:color w:val="auto"/>
        </w:rPr>
        <w:drawing>
          <wp:inline distT="0" distB="0" distL="0" distR="0">
            <wp:extent cx="5133975" cy="6477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1"/>
                    <a:stretch>
                      <a:fillRect/>
                    </a:stretch>
                  </pic:blipFill>
                  <pic:spPr>
                    <a:xfrm>
                      <a:off x="0" y="0"/>
                      <a:ext cx="5133975" cy="647700"/>
                    </a:xfrm>
                    <a:prstGeom prst="rect">
                      <a:avLst/>
                    </a:prstGeom>
                  </pic:spPr>
                </pic:pic>
              </a:graphicData>
            </a:graphic>
          </wp:inline>
        </w:drawing>
      </w:r>
    </w:p>
    <w:p w14:paraId="42CEDB35">
      <w:pPr>
        <w:jc w:val="center"/>
        <w:rPr>
          <w:rFonts w:ascii="黑体" w:hAnsi="黑体" w:eastAsia="黑体" w:cs="Times New Roman"/>
          <w:color w:val="auto"/>
          <w:kern w:val="0"/>
        </w:rPr>
      </w:pPr>
      <w:r>
        <w:rPr>
          <w:rFonts w:hint="eastAsia" w:ascii="黑体" w:hAnsi="黑体" w:eastAsia="黑体" w:cs="Times New Roman"/>
          <w:color w:val="auto"/>
          <w:kern w:val="0"/>
        </w:rPr>
        <w:t>图3激光测振仪速度幅值检测装置框图</w:t>
      </w:r>
    </w:p>
    <w:p w14:paraId="1F6F01CC">
      <w:pPr>
        <w:pStyle w:val="34"/>
        <w:numPr>
          <w:ilvl w:val="2"/>
          <w:numId w:val="0"/>
        </w:numPr>
        <w:spacing w:before="156" w:after="156"/>
        <w:rPr>
          <w:color w:val="auto"/>
          <w:szCs w:val="22"/>
        </w:rPr>
      </w:pPr>
      <w:r>
        <w:rPr>
          <w:rFonts w:hint="eastAsia"/>
          <w:color w:val="auto"/>
          <w:szCs w:val="22"/>
        </w:rPr>
        <w:t>6.3.2 幅值频率响应</w:t>
      </w:r>
    </w:p>
    <w:p w14:paraId="22127A3B">
      <w:pPr>
        <w:rPr>
          <w:szCs w:val="22"/>
        </w:rPr>
      </w:pPr>
      <w:r>
        <w:rPr>
          <w:rFonts w:hint="eastAsia"/>
          <w:szCs w:val="22"/>
        </w:rPr>
        <w:t>接线如图3所示，选定被校激光测振仪的速度量程后，用函数信号发生器产生标准频率信号（FM正弦信号），设置信号的偏移频率（Freq Dew参数），使在该偏移频率下应用式（1）和（2）计算得到的振动线速度</w:t>
      </w:r>
      <m:oMath>
        <m:r>
          <m:rPr>
            <m:sty m:val="p"/>
          </m:rPr>
          <w:rPr>
            <w:rFonts w:hint="eastAsia"/>
            <w:szCs w:val="22"/>
          </w:rPr>
          <m:t>v(t)</m:t>
        </m:r>
      </m:oMath>
      <w:r>
        <w:rPr>
          <w:rFonts w:hint="eastAsia"/>
          <w:szCs w:val="22"/>
        </w:rPr>
        <w:t>落在已选定的激光测振仪的速度量程内，保持该偏移频率不变，改变正弦信号的频率（FM Freq参数），在标称频率范围内，选择不少于8个频率点（如20 kHz、50 kHz、100 kHz、200 kHz、300 kHz、400 kHz、500 kHz、800 kHz、1 MHz、1.2 MHz、1.5 MHz、1.8 MHz、2 MHz），记录下激光测振仪软件的速度示值，按公式计算其幅值相对误差。</w:t>
      </w:r>
    </w:p>
    <w:p w14:paraId="677368FB">
      <w:pPr>
        <w:wordWrap w:val="0"/>
        <w:jc w:val="right"/>
        <w:rPr>
          <w:color w:val="auto"/>
          <w:szCs w:val="22"/>
        </w:rPr>
      </w:pPr>
      <w:r>
        <w:rPr>
          <w:rFonts w:hint="eastAsia"/>
          <w:color w:val="auto"/>
          <w:szCs w:val="22"/>
        </w:rPr>
        <w:t xml:space="preserve"> </w:t>
      </w:r>
      <w:r>
        <w:rPr>
          <w:color w:val="auto"/>
          <w:position w:val="-30"/>
          <w:sz w:val="28"/>
        </w:rPr>
        <w:object>
          <v:shape id="_x0000_i1027" o:spt="75" type="#_x0000_t75" style="height:34.3pt;width:95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rFonts w:hint="eastAsia"/>
          <w:color w:val="auto"/>
          <w:szCs w:val="22"/>
        </w:rPr>
        <w:t xml:space="preserve">     </w:t>
      </w:r>
      <w:r>
        <w:rPr>
          <w:rFonts w:hint="eastAsia" w:ascii="宋体" w:hAnsi="宋体" w:cs="宋体"/>
          <w:color w:val="auto"/>
          <w:lang w:bidi="ar"/>
        </w:rPr>
        <w:t>…………………………</w:t>
      </w:r>
      <w:r>
        <w:rPr>
          <w:rFonts w:hint="eastAsia" w:ascii="宋体" w:hAnsi="宋体" w:cs="宋体"/>
          <w:color w:val="auto"/>
        </w:rPr>
        <w:t>（</w:t>
      </w:r>
      <w:r>
        <w:rPr>
          <w:rFonts w:hint="default" w:ascii="Times New Roman" w:hAnsi="Times New Roman" w:cs="Times New Roman"/>
          <w:color w:val="auto"/>
        </w:rPr>
        <w:t>3</w:t>
      </w:r>
      <w:r>
        <w:rPr>
          <w:rFonts w:hint="eastAsia" w:ascii="宋体" w:hAnsi="宋体" w:cs="宋体"/>
          <w:color w:val="auto"/>
        </w:rPr>
        <w:t>）</w:t>
      </w:r>
    </w:p>
    <w:p w14:paraId="1A898924">
      <w:pPr>
        <w:rPr>
          <w:color w:val="auto"/>
          <w:szCs w:val="22"/>
        </w:rPr>
      </w:pPr>
      <w:r>
        <w:rPr>
          <w:rFonts w:hint="eastAsia"/>
          <w:color w:val="auto"/>
          <w:szCs w:val="22"/>
        </w:rPr>
        <w:t>式中:</w:t>
      </w:r>
    </w:p>
    <w:p w14:paraId="64E45F85">
      <w:pPr>
        <w:rPr>
          <w:color w:val="auto"/>
          <w:szCs w:val="22"/>
        </w:rPr>
      </w:pPr>
      <w:r>
        <w:rPr>
          <w:rFonts w:cs="Times New Roman"/>
          <w:i/>
          <w:iCs/>
          <w:color w:val="auto"/>
          <w:szCs w:val="22"/>
        </w:rPr>
        <w:t>δ</w:t>
      </w:r>
      <w:r>
        <w:rPr>
          <w:rFonts w:hint="eastAsia" w:cs="Times New Roman"/>
          <w:i/>
          <w:iCs/>
          <w:color w:val="auto"/>
          <w:szCs w:val="22"/>
          <w:vertAlign w:val="subscript"/>
        </w:rPr>
        <w:t xml:space="preserve">a  </w:t>
      </w:r>
      <w:r>
        <w:rPr>
          <w:rFonts w:cs="Times New Roman"/>
          <w:color w:val="auto"/>
        </w:rPr>
        <w:t>——</w:t>
      </w:r>
      <w:r>
        <w:rPr>
          <w:rFonts w:hint="eastAsia"/>
          <w:color w:val="auto"/>
          <w:szCs w:val="22"/>
        </w:rPr>
        <w:t>幅值频率响应误差，%；</w:t>
      </w:r>
    </w:p>
    <w:p w14:paraId="741ED470">
      <w:pPr>
        <w:rPr>
          <w:color w:val="auto"/>
          <w:szCs w:val="22"/>
        </w:rPr>
      </w:pPr>
      <w:r>
        <w:rPr>
          <w:rFonts w:hint="eastAsia"/>
          <w:i/>
          <w:iCs/>
          <w:color w:val="auto"/>
          <w:szCs w:val="22"/>
        </w:rPr>
        <w:t>x</w:t>
      </w:r>
      <w:r>
        <w:rPr>
          <w:rFonts w:hint="eastAsia"/>
          <w:i/>
          <w:iCs/>
          <w:color w:val="auto"/>
          <w:szCs w:val="22"/>
          <w:vertAlign w:val="subscript"/>
        </w:rPr>
        <w:t>i</w:t>
      </w:r>
      <w:r>
        <w:rPr>
          <w:rFonts w:hint="eastAsia"/>
          <w:color w:val="auto"/>
          <w:szCs w:val="22"/>
        </w:rPr>
        <w:t xml:space="preserve">  </w:t>
      </w:r>
      <w:r>
        <w:rPr>
          <w:rFonts w:cs="Times New Roman"/>
          <w:color w:val="auto"/>
        </w:rPr>
        <w:t>——</w:t>
      </w:r>
      <w:r>
        <w:rPr>
          <w:rFonts w:hint="eastAsia"/>
          <w:color w:val="auto"/>
          <w:szCs w:val="22"/>
        </w:rPr>
        <w:t>测振仪幅值测量示值，mm/s；</w:t>
      </w:r>
    </w:p>
    <w:p w14:paraId="5AF14044">
      <w:pPr>
        <w:rPr>
          <w:color w:val="auto"/>
          <w:szCs w:val="22"/>
        </w:rPr>
      </w:pPr>
      <w:r>
        <w:rPr>
          <w:rFonts w:hint="eastAsia"/>
          <w:i/>
          <w:iCs/>
          <w:color w:val="auto"/>
          <w:szCs w:val="22"/>
        </w:rPr>
        <w:t>x</w:t>
      </w:r>
      <w:r>
        <w:rPr>
          <w:rFonts w:hint="eastAsia"/>
          <w:i/>
          <w:iCs/>
          <w:color w:val="auto"/>
          <w:szCs w:val="22"/>
          <w:vertAlign w:val="subscript"/>
        </w:rPr>
        <w:t xml:space="preserve">c  </w:t>
      </w:r>
      <w:r>
        <w:rPr>
          <w:rFonts w:cs="Times New Roman"/>
          <w:color w:val="auto"/>
        </w:rPr>
        <w:t>——</w:t>
      </w:r>
      <w:r>
        <w:rPr>
          <w:rFonts w:hint="eastAsia"/>
          <w:color w:val="auto"/>
          <w:szCs w:val="22"/>
        </w:rPr>
        <w:t>由偏移频率计算转换得到的标准幅值， mm/s。</w:t>
      </w:r>
    </w:p>
    <w:p w14:paraId="701FA2AE">
      <w:pPr>
        <w:pStyle w:val="34"/>
        <w:numPr>
          <w:ilvl w:val="2"/>
          <w:numId w:val="0"/>
        </w:numPr>
        <w:spacing w:before="156" w:after="156"/>
        <w:rPr>
          <w:color w:val="auto"/>
          <w:szCs w:val="22"/>
        </w:rPr>
      </w:pPr>
      <w:r>
        <w:rPr>
          <w:rFonts w:hint="eastAsia"/>
          <w:color w:val="auto"/>
          <w:szCs w:val="22"/>
        </w:rPr>
        <w:t>6.3.3 幅值线性度</w:t>
      </w:r>
    </w:p>
    <w:p w14:paraId="5877FFF8">
      <w:pPr>
        <w:rPr>
          <w:szCs w:val="22"/>
        </w:rPr>
      </w:pPr>
      <w:r>
        <w:rPr>
          <w:rFonts w:hint="eastAsia"/>
          <w:szCs w:val="22"/>
        </w:rPr>
        <w:t>设置正弦信号的频率（FM Freq参数），选取某个参考频率点，在此频率下，设置信号的偏移频率（Freq Dew参数），选择不少于6个偏移频率点，这些偏移频率经计算后得出的标准速度幅值应均匀分布在已选定的被校激光测振仪的速度量程内，记录被检激光测振仪在不同偏移频率下的测量示值，按公式(3)计算每点的相对误差，取其最大值为幅值线性度。</w:t>
      </w:r>
    </w:p>
    <w:p w14:paraId="5A2177B6">
      <w:pPr>
        <w:pStyle w:val="31"/>
        <w:spacing w:before="312" w:after="312"/>
        <w:outlineLvl w:val="0"/>
        <w:rPr>
          <w:rFonts w:cs="黑体"/>
          <w:szCs w:val="21"/>
        </w:rPr>
      </w:pPr>
      <w:bookmarkStart w:id="48" w:name="_Toc15800"/>
      <w:r>
        <w:rPr>
          <w:rFonts w:hint="eastAsia" w:cs="黑体"/>
          <w:szCs w:val="21"/>
        </w:rPr>
        <w:t>记录内容</w:t>
      </w:r>
      <w:bookmarkEnd w:id="48"/>
    </w:p>
    <w:p w14:paraId="2AAD2520">
      <w:pPr>
        <w:rPr>
          <w:szCs w:val="22"/>
        </w:rPr>
      </w:pPr>
      <w:r>
        <w:rPr>
          <w:szCs w:val="22"/>
        </w:rPr>
        <w:t>应对技术标准进行的所有测量，整理和记录以下内容：</w:t>
      </w:r>
    </w:p>
    <w:p w14:paraId="2C0008A0">
      <w:pPr>
        <w:pStyle w:val="32"/>
        <w:spacing w:before="156" w:after="156"/>
        <w:rPr>
          <w:rFonts w:hAnsi="Times New Roman"/>
        </w:rPr>
      </w:pPr>
      <w:r>
        <w:rPr>
          <w:rFonts w:hint="eastAsia" w:hAnsi="Times New Roman"/>
        </w:rPr>
        <w:t>概述</w:t>
      </w:r>
    </w:p>
    <w:p w14:paraId="07D9A856">
      <w:pPr>
        <w:rPr>
          <w:szCs w:val="22"/>
        </w:rPr>
      </w:pPr>
      <w:r>
        <w:rPr>
          <w:szCs w:val="22"/>
        </w:rPr>
        <w:t>记录所有与检测相关的信息，确保检测过程的可追溯性和可重复性。</w:t>
      </w:r>
    </w:p>
    <w:p w14:paraId="50920235">
      <w:pPr>
        <w:pStyle w:val="32"/>
        <w:spacing w:before="156" w:after="156"/>
        <w:rPr>
          <w:rFonts w:hAnsi="Times New Roman"/>
        </w:rPr>
      </w:pPr>
      <w:r>
        <w:rPr>
          <w:rFonts w:hint="eastAsia" w:hAnsi="Times New Roman"/>
        </w:rPr>
        <w:t>被测振动源</w:t>
      </w:r>
    </w:p>
    <w:p w14:paraId="174A0DAA">
      <w:pPr>
        <w:rPr>
          <w:szCs w:val="22"/>
        </w:rPr>
      </w:pPr>
      <w:r>
        <w:rPr>
          <w:szCs w:val="22"/>
        </w:rPr>
        <w:t>应记录以下内容：</w:t>
      </w:r>
    </w:p>
    <w:p w14:paraId="2625EE67">
      <w:pPr>
        <w:pStyle w:val="28"/>
        <w:ind w:left="420" w:firstLine="0" w:firstLineChars="0"/>
        <w:rPr>
          <w:szCs w:val="22"/>
        </w:rPr>
      </w:pPr>
      <w:r>
        <w:rPr>
          <w:rFonts w:hint="eastAsia"/>
          <w:szCs w:val="22"/>
        </w:rPr>
        <w:t>a</w:t>
      </w:r>
      <w:r>
        <w:rPr>
          <w:szCs w:val="22"/>
        </w:rPr>
        <w:t>) 被测振动源的描述：包括生产厂商、型号、技术数据、尺寸、机器序号和生产日期。</w:t>
      </w:r>
      <w:r>
        <w:rPr>
          <w:szCs w:val="22"/>
        </w:rPr>
        <w:br w:type="textWrapping"/>
      </w:r>
      <w:r>
        <w:rPr>
          <w:szCs w:val="22"/>
        </w:rPr>
        <w:t>b) 测试中用到的任何辅助设备的使用说明：如超声换能器、激光棱镜等。</w:t>
      </w:r>
      <w:r>
        <w:rPr>
          <w:szCs w:val="22"/>
        </w:rPr>
        <w:br w:type="textWrapping"/>
      </w:r>
      <w:r>
        <w:rPr>
          <w:szCs w:val="22"/>
        </w:rPr>
        <w:t>c) 用于测试的运行模式和相应的测量时间段：记录振动源的工作模式和测量时间。</w:t>
      </w:r>
      <w:r>
        <w:rPr>
          <w:szCs w:val="22"/>
        </w:rPr>
        <w:br w:type="textWrapping"/>
      </w:r>
      <w:r>
        <w:rPr>
          <w:szCs w:val="22"/>
        </w:rPr>
        <w:t>d) 安装条件：记录振动源的安装方式和固定条件。</w:t>
      </w:r>
      <w:r>
        <w:rPr>
          <w:szCs w:val="22"/>
        </w:rPr>
        <w:br w:type="textWrapping"/>
      </w:r>
      <w:r>
        <w:rPr>
          <w:szCs w:val="22"/>
        </w:rPr>
        <w:t>e) 测试环境中被测振动源的位置：记录振动源在测试环境中的具体位置。</w:t>
      </w:r>
    </w:p>
    <w:p w14:paraId="0CB9341D">
      <w:pPr>
        <w:pStyle w:val="32"/>
        <w:spacing w:before="156" w:after="156"/>
        <w:rPr>
          <w:rFonts w:hAnsi="Times New Roman"/>
        </w:rPr>
      </w:pPr>
      <w:r>
        <w:rPr>
          <w:rFonts w:hint="eastAsia" w:hAnsi="Times New Roman"/>
        </w:rPr>
        <w:t>测试环境</w:t>
      </w:r>
    </w:p>
    <w:p w14:paraId="2D9E375F">
      <w:pPr>
        <w:rPr>
          <w:szCs w:val="22"/>
        </w:rPr>
      </w:pPr>
      <w:r>
        <w:rPr>
          <w:szCs w:val="22"/>
        </w:rPr>
        <w:t>应记录以下内容：</w:t>
      </w:r>
    </w:p>
    <w:p w14:paraId="7818ACD3">
      <w:pPr>
        <w:ind w:left="420" w:leftChars="200" w:firstLine="0" w:firstLineChars="0"/>
        <w:rPr>
          <w:szCs w:val="22"/>
        </w:rPr>
      </w:pPr>
      <w:r>
        <w:rPr>
          <w:szCs w:val="22"/>
        </w:rPr>
        <w:t>a) 测试</w:t>
      </w:r>
      <w:r>
        <w:rPr>
          <w:rFonts w:hint="eastAsia"/>
          <w:szCs w:val="22"/>
        </w:rPr>
        <w:t>环境干扰因素</w:t>
      </w:r>
      <w:r>
        <w:rPr>
          <w:szCs w:val="22"/>
        </w:rPr>
        <w:t>描述</w:t>
      </w:r>
      <w:r>
        <w:rPr>
          <w:rFonts w:hint="eastAsia"/>
          <w:szCs w:val="22"/>
        </w:rPr>
        <w:t>：</w:t>
      </w:r>
      <w:r>
        <w:rPr>
          <w:rFonts w:hint="eastAsia"/>
        </w:rPr>
        <w:t>振动、冲击、电磁辐射及强光等</w:t>
      </w:r>
      <w:r>
        <w:rPr>
          <w:szCs w:val="22"/>
        </w:rPr>
        <w:br w:type="textWrapping"/>
      </w:r>
      <w:r>
        <w:rPr>
          <w:rFonts w:hint="eastAsia"/>
          <w:szCs w:val="22"/>
        </w:rPr>
        <w:t>b</w:t>
      </w:r>
      <w:r>
        <w:rPr>
          <w:szCs w:val="22"/>
        </w:rPr>
        <w:t>) 测试时振动源附近的空气温度(℃)、</w:t>
      </w:r>
      <w:r>
        <w:rPr>
          <w:rFonts w:hint="eastAsia"/>
          <w:szCs w:val="22"/>
        </w:rPr>
        <w:t>湿度</w:t>
      </w:r>
      <w:r>
        <w:rPr>
          <w:szCs w:val="22"/>
        </w:rPr>
        <w:t>(</w:t>
      </w:r>
      <w:r>
        <w:rPr>
          <w:rFonts w:hint="eastAsia"/>
          <w:szCs w:val="22"/>
        </w:rPr>
        <w:t>%</w:t>
      </w:r>
      <w:r>
        <w:rPr>
          <w:szCs w:val="22"/>
        </w:rPr>
        <w:t>)：记录测试时的环境温度和</w:t>
      </w:r>
      <w:r>
        <w:rPr>
          <w:rFonts w:hint="eastAsia"/>
          <w:szCs w:val="22"/>
        </w:rPr>
        <w:t>湿度</w:t>
      </w:r>
      <w:r>
        <w:rPr>
          <w:szCs w:val="22"/>
        </w:rPr>
        <w:t>。</w:t>
      </w:r>
    </w:p>
    <w:p w14:paraId="219090A8">
      <w:pPr>
        <w:pStyle w:val="32"/>
        <w:spacing w:before="156" w:after="156"/>
        <w:rPr>
          <w:rFonts w:hAnsi="Times New Roman"/>
        </w:rPr>
      </w:pPr>
      <w:r>
        <w:rPr>
          <w:rFonts w:hint="eastAsia" w:hAnsi="Times New Roman"/>
        </w:rPr>
        <w:t>测量仪器</w:t>
      </w:r>
    </w:p>
    <w:p w14:paraId="3E63B420">
      <w:pPr>
        <w:rPr>
          <w:szCs w:val="22"/>
        </w:rPr>
      </w:pPr>
      <w:r>
        <w:rPr>
          <w:szCs w:val="22"/>
        </w:rPr>
        <w:t>应记录以下内容：</w:t>
      </w:r>
    </w:p>
    <w:p w14:paraId="73236B97">
      <w:pPr>
        <w:pStyle w:val="28"/>
        <w:ind w:left="420" w:firstLine="0" w:firstLineChars="0"/>
        <w:rPr>
          <w:szCs w:val="22"/>
        </w:rPr>
      </w:pPr>
      <w:r>
        <w:rPr>
          <w:rFonts w:hint="eastAsia"/>
          <w:szCs w:val="22"/>
        </w:rPr>
        <w:t>a</w:t>
      </w:r>
      <w:r>
        <w:rPr>
          <w:szCs w:val="22"/>
        </w:rPr>
        <w:t>) 测量所用的仪器：包括名称、型号、序号和生产厂商。</w:t>
      </w:r>
      <w:r>
        <w:rPr>
          <w:szCs w:val="22"/>
        </w:rPr>
        <w:br w:type="textWrapping"/>
      </w:r>
      <w:r>
        <w:rPr>
          <w:szCs w:val="22"/>
        </w:rPr>
        <w:t>b) 用于校准和检验仪器系统校准的方法、日期和地点：记录仪器的校准方法和校准日期。</w:t>
      </w:r>
      <w:r>
        <w:rPr>
          <w:szCs w:val="22"/>
        </w:rPr>
        <w:br w:type="textWrapping"/>
      </w:r>
      <w:r>
        <w:rPr>
          <w:szCs w:val="22"/>
        </w:rPr>
        <w:t>c) 所用辅助设备的特性：如激光棱镜的反射率、稳定性等。</w:t>
      </w:r>
    </w:p>
    <w:p w14:paraId="3A88DBA1">
      <w:pPr>
        <w:pStyle w:val="32"/>
        <w:spacing w:before="156" w:after="156"/>
        <w:rPr>
          <w:rFonts w:hAnsi="Times New Roman"/>
        </w:rPr>
      </w:pPr>
      <w:r>
        <w:rPr>
          <w:rFonts w:hint="eastAsia" w:hAnsi="Times New Roman"/>
        </w:rPr>
        <w:t>振动数据</w:t>
      </w:r>
    </w:p>
    <w:p w14:paraId="766BE76D">
      <w:pPr>
        <w:rPr>
          <w:szCs w:val="22"/>
        </w:rPr>
      </w:pPr>
      <w:r>
        <w:rPr>
          <w:szCs w:val="22"/>
        </w:rPr>
        <w:t>应记录以下内容：</w:t>
      </w:r>
    </w:p>
    <w:p w14:paraId="28207C5E">
      <w:pPr>
        <w:pStyle w:val="28"/>
        <w:ind w:left="420" w:firstLine="0" w:firstLineChars="0"/>
        <w:rPr>
          <w:szCs w:val="22"/>
        </w:rPr>
      </w:pPr>
      <w:r>
        <w:rPr>
          <w:rFonts w:hint="eastAsia"/>
          <w:szCs w:val="22"/>
        </w:rPr>
        <w:t>a</w:t>
      </w:r>
      <w:r>
        <w:rPr>
          <w:szCs w:val="22"/>
        </w:rPr>
        <w:t>) 振动测量数据：包括</w:t>
      </w:r>
      <w:r>
        <w:rPr>
          <w:rFonts w:hint="eastAsia"/>
          <w:szCs w:val="22"/>
        </w:rPr>
        <w:t>频率、速度</w:t>
      </w:r>
      <w:r>
        <w:rPr>
          <w:szCs w:val="22"/>
        </w:rPr>
        <w:t>的测量值及其对应的参考值</w:t>
      </w:r>
      <w:r>
        <w:rPr>
          <w:rFonts w:hint="eastAsia"/>
          <w:szCs w:val="22"/>
        </w:rPr>
        <w:t>和对应的测量距离</w:t>
      </w:r>
      <w:r>
        <w:rPr>
          <w:szCs w:val="22"/>
        </w:rPr>
        <w:t>。</w:t>
      </w:r>
      <w:r>
        <w:rPr>
          <w:szCs w:val="22"/>
        </w:rPr>
        <w:br w:type="textWrapping"/>
      </w:r>
      <w:r>
        <w:rPr>
          <w:szCs w:val="22"/>
        </w:rPr>
        <w:t>b) 数据处理结果：相对误差。</w:t>
      </w:r>
      <w:r>
        <w:rPr>
          <w:szCs w:val="22"/>
        </w:rPr>
        <w:br w:type="textWrapping"/>
      </w:r>
      <w:r>
        <w:rPr>
          <w:szCs w:val="22"/>
        </w:rPr>
        <w:t>c) 测量不确定度的评估结果：记录测量不确定度的来源和评估结果。</w:t>
      </w:r>
    </w:p>
    <w:p w14:paraId="7567F56D">
      <w:pPr>
        <w:pStyle w:val="32"/>
        <w:spacing w:before="156" w:after="156"/>
        <w:rPr>
          <w:rFonts w:hAnsi="Times New Roman"/>
        </w:rPr>
      </w:pPr>
      <w:r>
        <w:rPr>
          <w:rFonts w:hint="eastAsia" w:hAnsi="Times New Roman"/>
        </w:rPr>
        <w:t>检测报告</w:t>
      </w:r>
    </w:p>
    <w:p w14:paraId="3F27206E">
      <w:pPr>
        <w:rPr>
          <w:szCs w:val="22"/>
        </w:rPr>
      </w:pPr>
      <w:r>
        <w:rPr>
          <w:szCs w:val="22"/>
        </w:rPr>
        <w:t>检测报告应包含以下内容：</w:t>
      </w:r>
    </w:p>
    <w:p w14:paraId="19763FF4">
      <w:pPr>
        <w:pStyle w:val="28"/>
        <w:ind w:left="420" w:firstLine="0" w:firstLineChars="0"/>
        <w:rPr>
          <w:szCs w:val="22"/>
        </w:rPr>
      </w:pPr>
      <w:r>
        <w:rPr>
          <w:rFonts w:hint="eastAsia"/>
          <w:szCs w:val="22"/>
        </w:rPr>
        <w:t>a</w:t>
      </w:r>
      <w:r>
        <w:rPr>
          <w:szCs w:val="22"/>
        </w:rPr>
        <w:t>) 标题，如</w:t>
      </w:r>
      <w:r>
        <w:rPr>
          <w:rFonts w:hint="eastAsia"/>
          <w:szCs w:val="22"/>
        </w:rPr>
        <w:t>“</w:t>
      </w:r>
      <w:r>
        <w:rPr>
          <w:szCs w:val="22"/>
        </w:rPr>
        <w:t>激光测振仪高频振动性能检测报告</w:t>
      </w:r>
      <w:r>
        <w:rPr>
          <w:rFonts w:hint="eastAsia"/>
          <w:szCs w:val="22"/>
        </w:rPr>
        <w:t>”</w:t>
      </w:r>
      <w:r>
        <w:rPr>
          <w:szCs w:val="22"/>
        </w:rPr>
        <w:t>；</w:t>
      </w:r>
      <w:r>
        <w:rPr>
          <w:szCs w:val="22"/>
        </w:rPr>
        <w:br w:type="textWrapping"/>
      </w:r>
      <w:r>
        <w:rPr>
          <w:szCs w:val="22"/>
        </w:rPr>
        <w:t>b) 实验室名称和地址；</w:t>
      </w:r>
      <w:r>
        <w:rPr>
          <w:szCs w:val="22"/>
        </w:rPr>
        <w:br w:type="textWrapping"/>
      </w:r>
      <w:r>
        <w:rPr>
          <w:szCs w:val="22"/>
        </w:rPr>
        <w:t>c) 检测地点；</w:t>
      </w:r>
      <w:r>
        <w:rPr>
          <w:szCs w:val="22"/>
        </w:rPr>
        <w:br w:type="textWrapping"/>
      </w:r>
      <w:r>
        <w:rPr>
          <w:szCs w:val="22"/>
        </w:rPr>
        <w:t>d) 报告编号和总页数；</w:t>
      </w:r>
      <w:r>
        <w:rPr>
          <w:szCs w:val="22"/>
        </w:rPr>
        <w:br w:type="textWrapping"/>
      </w:r>
      <w:r>
        <w:rPr>
          <w:szCs w:val="22"/>
        </w:rPr>
        <w:t>e) 客户名称和地址；</w:t>
      </w:r>
      <w:r>
        <w:rPr>
          <w:szCs w:val="22"/>
        </w:rPr>
        <w:br w:type="textWrapping"/>
      </w:r>
      <w:r>
        <w:rPr>
          <w:szCs w:val="22"/>
        </w:rPr>
        <w:t>f) 被测激光测振仪的详细信息，包括型号、生产厂家、序列号等；</w:t>
      </w:r>
      <w:r>
        <w:rPr>
          <w:szCs w:val="22"/>
        </w:rPr>
        <w:br w:type="textWrapping"/>
      </w:r>
      <w:r>
        <w:rPr>
          <w:szCs w:val="22"/>
        </w:rPr>
        <w:t>g) 检测日期和样品接收日期；</w:t>
      </w:r>
      <w:r>
        <w:rPr>
          <w:szCs w:val="22"/>
        </w:rPr>
        <w:br w:type="textWrapping"/>
      </w:r>
      <w:r>
        <w:rPr>
          <w:szCs w:val="22"/>
        </w:rPr>
        <w:t>h) 检测依据的技术规范；</w:t>
      </w:r>
      <w:r>
        <w:rPr>
          <w:szCs w:val="22"/>
        </w:rPr>
        <w:br w:type="textWrapping"/>
      </w:r>
      <w:r>
        <w:rPr>
          <w:szCs w:val="22"/>
        </w:rPr>
        <w:t>i) 检测环境参数；</w:t>
      </w:r>
      <w:r>
        <w:rPr>
          <w:szCs w:val="22"/>
        </w:rPr>
        <w:br w:type="textWrapping"/>
      </w:r>
      <w:r>
        <w:rPr>
          <w:szCs w:val="22"/>
        </w:rPr>
        <w:t>j) 检测仪器设备的信息，包括名称、型号、精度等；</w:t>
      </w:r>
      <w:r>
        <w:rPr>
          <w:szCs w:val="22"/>
        </w:rPr>
        <w:br w:type="textWrapping"/>
      </w:r>
      <w:r>
        <w:rPr>
          <w:szCs w:val="22"/>
        </w:rPr>
        <w:t>k) 各频率点测量结果，相对误差；</w:t>
      </w:r>
      <w:r>
        <w:rPr>
          <w:szCs w:val="22"/>
        </w:rPr>
        <w:br w:type="textWrapping"/>
      </w:r>
      <w:r>
        <w:rPr>
          <w:rFonts w:hint="eastAsia"/>
          <w:szCs w:val="22"/>
        </w:rPr>
        <w:t>l</w:t>
      </w:r>
      <w:r>
        <w:rPr>
          <w:szCs w:val="22"/>
        </w:rPr>
        <w:t>) 不同距离下的检测精度确认结果（20m、50m、100m）；</w:t>
      </w:r>
    </w:p>
    <w:p w14:paraId="102FF53D">
      <w:pPr>
        <w:pStyle w:val="28"/>
        <w:ind w:left="420" w:firstLine="0" w:firstLineChars="0"/>
        <w:rPr>
          <w:szCs w:val="22"/>
        </w:rPr>
      </w:pPr>
      <w:r>
        <w:rPr>
          <w:rFonts w:hint="eastAsia"/>
          <w:szCs w:val="22"/>
        </w:rPr>
        <w:t>m</w:t>
      </w:r>
      <w:r>
        <w:rPr>
          <w:szCs w:val="22"/>
        </w:rPr>
        <w:t xml:space="preserve">) </w:t>
      </w:r>
      <w:r>
        <w:rPr>
          <w:rFonts w:hint="eastAsia"/>
          <w:szCs w:val="22"/>
        </w:rPr>
        <w:t>振动速度振值的频率响应和线性度</w:t>
      </w:r>
      <w:r>
        <w:rPr>
          <w:szCs w:val="22"/>
        </w:rPr>
        <w:t>；</w:t>
      </w:r>
      <w:r>
        <w:rPr>
          <w:szCs w:val="22"/>
        </w:rPr>
        <w:br w:type="textWrapping"/>
      </w:r>
      <w:r>
        <w:rPr>
          <w:rFonts w:hint="eastAsia"/>
          <w:szCs w:val="22"/>
        </w:rPr>
        <w:t>n</w:t>
      </w:r>
      <w:r>
        <w:rPr>
          <w:szCs w:val="22"/>
        </w:rPr>
        <w:t>) 测量不确定度的说明；</w:t>
      </w:r>
      <w:r>
        <w:rPr>
          <w:szCs w:val="22"/>
        </w:rPr>
        <w:br w:type="textWrapping"/>
      </w:r>
      <w:r>
        <w:rPr>
          <w:rFonts w:hint="eastAsia"/>
          <w:szCs w:val="22"/>
        </w:rPr>
        <w:t>o</w:t>
      </w:r>
      <w:r>
        <w:rPr>
          <w:szCs w:val="22"/>
        </w:rPr>
        <w:t>) 对检测规范的偏离情况说明（如有）；</w:t>
      </w:r>
      <w:r>
        <w:rPr>
          <w:szCs w:val="22"/>
        </w:rPr>
        <w:br w:type="textWrapping"/>
      </w:r>
      <w:r>
        <w:rPr>
          <w:rFonts w:hint="eastAsia"/>
          <w:szCs w:val="22"/>
        </w:rPr>
        <w:t>p</w:t>
      </w:r>
      <w:r>
        <w:rPr>
          <w:szCs w:val="22"/>
        </w:rPr>
        <w:t>) 检测人员和审核人员的签名；</w:t>
      </w:r>
      <w:r>
        <w:rPr>
          <w:szCs w:val="22"/>
        </w:rPr>
        <w:br w:type="textWrapping"/>
      </w:r>
      <w:r>
        <w:rPr>
          <w:rFonts w:hint="eastAsia"/>
          <w:szCs w:val="22"/>
        </w:rPr>
        <w:t>q</w:t>
      </w:r>
      <w:r>
        <w:rPr>
          <w:szCs w:val="22"/>
        </w:rPr>
        <w:t>) 检测结果仅对被测样品有效的声明；</w:t>
      </w:r>
      <w:r>
        <w:rPr>
          <w:szCs w:val="22"/>
        </w:rPr>
        <w:br w:type="textWrapping"/>
      </w:r>
      <w:r>
        <w:rPr>
          <w:rFonts w:hint="eastAsia"/>
          <w:szCs w:val="22"/>
        </w:rPr>
        <w:t>y</w:t>
      </w:r>
      <w:r>
        <w:rPr>
          <w:szCs w:val="22"/>
        </w:rPr>
        <w:t>) 未经实验室书面批准不得部分复制报告的声明</w:t>
      </w:r>
      <w:r>
        <w:rPr>
          <w:rFonts w:hint="eastAsia"/>
          <w:szCs w:val="22"/>
        </w:rPr>
        <w:t>。</w:t>
      </w:r>
    </w:p>
    <w:sectPr>
      <w:footerReference r:id="rId13"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6C3F">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71EB3">
    <w:pPr>
      <w:pStyle w:val="8"/>
      <w:ind w:firstLine="36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F7C62">
                          <w:pPr>
                            <w:pStyle w:val="8"/>
                            <w:ind w:firstLine="360"/>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4DF7C62">
                    <w:pPr>
                      <w:pStyle w:val="8"/>
                      <w:ind w:firstLine="360"/>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2984">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A001">
    <w:pPr>
      <w:pStyle w:val="8"/>
      <w:ind w:firstLine="360"/>
      <w:rPr>
        <w:color w:val="000000" w:themeColor="text1"/>
        <w14:textFill>
          <w14:solidFill>
            <w14:schemeClr w14:val="tx1"/>
          </w14:solidFill>
        </w14:textFill>
      </w:rPr>
    </w:pPr>
    <w:r>
      <w:rPr>
        <w:rFonts w:hint="eastAsia"/>
        <w:color w:val="000000" w:themeColor="text1"/>
        <w14:textFill>
          <w14:solidFill>
            <w14:schemeClr w14:val="tx1"/>
          </w14:solidFill>
        </w14:textFill>
      </w:rP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4F92">
    <w:pPr>
      <w:pStyle w:val="8"/>
      <w:ind w:firstLine="360"/>
      <w:rPr>
        <w:color w:val="000000" w:themeColor="text1"/>
        <w14:textFill>
          <w14:solidFill>
            <w14:schemeClr w14:val="tx1"/>
          </w14:solidFill>
        </w14:textFill>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1D658">
                          <w:pPr>
                            <w:pStyle w:val="8"/>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281D658">
                    <w:pPr>
                      <w:pStyle w:val="8"/>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AF9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0AD2">
    <w:pPr>
      <w:pStyle w:val="22"/>
      <w:jc w:val="left"/>
      <w:rPr>
        <w:rFonts w:eastAsia="黑体"/>
      </w:rPr>
    </w:pPr>
    <w:r>
      <w:rPr>
        <w:rFonts w:hint="eastAsia" w:ascii="黑体" w:eastAsia="黑体"/>
      </w:rPr>
      <w:t>T/SZMS 0009-2024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7DAE">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2F22">
    <w:pPr>
      <w:pStyle w:val="22"/>
      <w:rPr>
        <w:rFonts w:ascii="黑体" w:eastAsia="黑体"/>
      </w:rPr>
    </w:pPr>
    <w:r>
      <w:rPr>
        <w:rFonts w:hint="eastAsia" w:ascii="黑体" w:eastAsia="黑体"/>
      </w:rPr>
      <w:t>T/SZSIIIA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4FFCE"/>
    <w:multiLevelType w:val="singleLevel"/>
    <w:tmpl w:val="0EF4FFCE"/>
    <w:lvl w:ilvl="0" w:tentative="0">
      <w:start w:val="1"/>
      <w:numFmt w:val="lowerLetter"/>
      <w:suff w:val="space"/>
      <w:lvlText w:val="%1)"/>
      <w:lvlJc w:val="left"/>
    </w:lvl>
  </w:abstractNum>
  <w:abstractNum w:abstractNumId="1">
    <w:nsid w:val="10ACEECD"/>
    <w:multiLevelType w:val="singleLevel"/>
    <w:tmpl w:val="10ACEECD"/>
    <w:lvl w:ilvl="0" w:tentative="0">
      <w:start w:val="1"/>
      <w:numFmt w:val="lowerLetter"/>
      <w:suff w:val="space"/>
      <w:lvlText w:val="%1)"/>
      <w:lvlJc w:val="left"/>
    </w:lvl>
  </w:abstractNum>
  <w:abstractNum w:abstractNumId="2">
    <w:nsid w:val="1FC91163"/>
    <w:multiLevelType w:val="multilevel"/>
    <w:tmpl w:val="1FC91163"/>
    <w:lvl w:ilvl="0" w:tentative="0">
      <w:start w:val="1"/>
      <w:numFmt w:val="decimal"/>
      <w:pStyle w:val="31"/>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4"/>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BAF0F71"/>
    <w:multiLevelType w:val="multilevel"/>
    <w:tmpl w:val="3BAF0F71"/>
    <w:lvl w:ilvl="0" w:tentative="0">
      <w:start w:val="1"/>
      <w:numFmt w:val="decimal"/>
      <w:pStyle w:val="2"/>
      <w:lvlText w:val="%1."/>
      <w:lvlJc w:val="left"/>
      <w:pPr>
        <w:ind w:left="425" w:hanging="425"/>
      </w:pPr>
      <w:rPr>
        <w:rFonts w:hint="default"/>
      </w:rPr>
    </w:lvl>
    <w:lvl w:ilvl="1" w:tentative="0">
      <w:start w:val="1"/>
      <w:numFmt w:val="decimal"/>
      <w:suff w:val="space"/>
      <w:lvlText w:val="%1.%2"/>
      <w:lvlJc w:val="left"/>
      <w:pPr>
        <w:ind w:left="284"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0F"/>
    <w:rsid w:val="000116F5"/>
    <w:rsid w:val="000167E6"/>
    <w:rsid w:val="00057463"/>
    <w:rsid w:val="00063292"/>
    <w:rsid w:val="000820F0"/>
    <w:rsid w:val="000E6554"/>
    <w:rsid w:val="0014042F"/>
    <w:rsid w:val="00160035"/>
    <w:rsid w:val="002024FB"/>
    <w:rsid w:val="00270B00"/>
    <w:rsid w:val="002B510D"/>
    <w:rsid w:val="002F1EA4"/>
    <w:rsid w:val="00314DBF"/>
    <w:rsid w:val="00390168"/>
    <w:rsid w:val="0039039D"/>
    <w:rsid w:val="003B2AC6"/>
    <w:rsid w:val="0041402B"/>
    <w:rsid w:val="0044273C"/>
    <w:rsid w:val="00484DCD"/>
    <w:rsid w:val="00496DB6"/>
    <w:rsid w:val="004B0485"/>
    <w:rsid w:val="004B4F18"/>
    <w:rsid w:val="00514F20"/>
    <w:rsid w:val="00520E2F"/>
    <w:rsid w:val="005B0D20"/>
    <w:rsid w:val="005B15E2"/>
    <w:rsid w:val="005B3AE7"/>
    <w:rsid w:val="0062149A"/>
    <w:rsid w:val="00622F28"/>
    <w:rsid w:val="00630D5B"/>
    <w:rsid w:val="00650F7B"/>
    <w:rsid w:val="0065583B"/>
    <w:rsid w:val="00663387"/>
    <w:rsid w:val="00697E6B"/>
    <w:rsid w:val="006E605E"/>
    <w:rsid w:val="007148BA"/>
    <w:rsid w:val="00763781"/>
    <w:rsid w:val="007C196E"/>
    <w:rsid w:val="007D1469"/>
    <w:rsid w:val="00804E31"/>
    <w:rsid w:val="00807589"/>
    <w:rsid w:val="00815BEA"/>
    <w:rsid w:val="008410A4"/>
    <w:rsid w:val="0085068D"/>
    <w:rsid w:val="008567DD"/>
    <w:rsid w:val="00863708"/>
    <w:rsid w:val="008A365A"/>
    <w:rsid w:val="009534C9"/>
    <w:rsid w:val="009756CA"/>
    <w:rsid w:val="009A7C1C"/>
    <w:rsid w:val="009C488B"/>
    <w:rsid w:val="009D3C79"/>
    <w:rsid w:val="00A02C37"/>
    <w:rsid w:val="00A04733"/>
    <w:rsid w:val="00A423A0"/>
    <w:rsid w:val="00A4377A"/>
    <w:rsid w:val="00A9589C"/>
    <w:rsid w:val="00AC440F"/>
    <w:rsid w:val="00AC6C48"/>
    <w:rsid w:val="00AF1A55"/>
    <w:rsid w:val="00B564D8"/>
    <w:rsid w:val="00B60818"/>
    <w:rsid w:val="00BC1811"/>
    <w:rsid w:val="00BC2566"/>
    <w:rsid w:val="00C40A8F"/>
    <w:rsid w:val="00C61959"/>
    <w:rsid w:val="00C661F3"/>
    <w:rsid w:val="00C66992"/>
    <w:rsid w:val="00CA329C"/>
    <w:rsid w:val="00D22FF8"/>
    <w:rsid w:val="00D441DC"/>
    <w:rsid w:val="00D71550"/>
    <w:rsid w:val="00D726ED"/>
    <w:rsid w:val="00D949D8"/>
    <w:rsid w:val="00DB1101"/>
    <w:rsid w:val="00DB380F"/>
    <w:rsid w:val="00DC0315"/>
    <w:rsid w:val="00DF1F25"/>
    <w:rsid w:val="00DF3C96"/>
    <w:rsid w:val="00E12889"/>
    <w:rsid w:val="00E20D14"/>
    <w:rsid w:val="00E35C6D"/>
    <w:rsid w:val="00E82373"/>
    <w:rsid w:val="00EC4A03"/>
    <w:rsid w:val="00F511A0"/>
    <w:rsid w:val="00FB15B9"/>
    <w:rsid w:val="01317C12"/>
    <w:rsid w:val="01427728"/>
    <w:rsid w:val="04AF71B5"/>
    <w:rsid w:val="05404C1F"/>
    <w:rsid w:val="05E8679A"/>
    <w:rsid w:val="06C64729"/>
    <w:rsid w:val="0823007C"/>
    <w:rsid w:val="09F16BC1"/>
    <w:rsid w:val="0A0444CF"/>
    <w:rsid w:val="0CE045F1"/>
    <w:rsid w:val="0E295247"/>
    <w:rsid w:val="10077A80"/>
    <w:rsid w:val="116625B7"/>
    <w:rsid w:val="133C40E3"/>
    <w:rsid w:val="13E939FC"/>
    <w:rsid w:val="1482435B"/>
    <w:rsid w:val="151876AE"/>
    <w:rsid w:val="162A33D6"/>
    <w:rsid w:val="176A49B9"/>
    <w:rsid w:val="198F2FF3"/>
    <w:rsid w:val="1A3816D8"/>
    <w:rsid w:val="1B026FDC"/>
    <w:rsid w:val="1BA268B5"/>
    <w:rsid w:val="1C81244F"/>
    <w:rsid w:val="204C4020"/>
    <w:rsid w:val="211C3554"/>
    <w:rsid w:val="23B4466E"/>
    <w:rsid w:val="24E34360"/>
    <w:rsid w:val="25ED4EEF"/>
    <w:rsid w:val="27755C75"/>
    <w:rsid w:val="29BF7D69"/>
    <w:rsid w:val="2C8B5ED0"/>
    <w:rsid w:val="2E8C77B0"/>
    <w:rsid w:val="321920CC"/>
    <w:rsid w:val="332D39F7"/>
    <w:rsid w:val="34456DB8"/>
    <w:rsid w:val="350D1D4E"/>
    <w:rsid w:val="35E67B0A"/>
    <w:rsid w:val="3A4311B2"/>
    <w:rsid w:val="3B79050B"/>
    <w:rsid w:val="3BCC2061"/>
    <w:rsid w:val="3CD94583"/>
    <w:rsid w:val="3CFE669F"/>
    <w:rsid w:val="3D776D4E"/>
    <w:rsid w:val="3D885720"/>
    <w:rsid w:val="3F2F04C3"/>
    <w:rsid w:val="3FA118A5"/>
    <w:rsid w:val="407415BA"/>
    <w:rsid w:val="438A2B3B"/>
    <w:rsid w:val="43E33E05"/>
    <w:rsid w:val="443D0E19"/>
    <w:rsid w:val="44A818BD"/>
    <w:rsid w:val="45321E09"/>
    <w:rsid w:val="48F0738F"/>
    <w:rsid w:val="49406E55"/>
    <w:rsid w:val="4AE84BF1"/>
    <w:rsid w:val="4C880381"/>
    <w:rsid w:val="4CFB4554"/>
    <w:rsid w:val="4DF12FF3"/>
    <w:rsid w:val="4DF56C3C"/>
    <w:rsid w:val="4EB758F6"/>
    <w:rsid w:val="4F4A27AE"/>
    <w:rsid w:val="4F625F52"/>
    <w:rsid w:val="52900663"/>
    <w:rsid w:val="52A66056"/>
    <w:rsid w:val="55C44E72"/>
    <w:rsid w:val="56373D4C"/>
    <w:rsid w:val="5756663B"/>
    <w:rsid w:val="5A2A393F"/>
    <w:rsid w:val="5A33357F"/>
    <w:rsid w:val="5AD07020"/>
    <w:rsid w:val="5BAE300F"/>
    <w:rsid w:val="5DA943E8"/>
    <w:rsid w:val="5E9C3F32"/>
    <w:rsid w:val="5EF552A7"/>
    <w:rsid w:val="60EF159F"/>
    <w:rsid w:val="61586DEC"/>
    <w:rsid w:val="641817AC"/>
    <w:rsid w:val="656767D3"/>
    <w:rsid w:val="65C44680"/>
    <w:rsid w:val="660A78C7"/>
    <w:rsid w:val="68425C17"/>
    <w:rsid w:val="697670FA"/>
    <w:rsid w:val="6DC8577A"/>
    <w:rsid w:val="6E0D4393"/>
    <w:rsid w:val="6FC7666F"/>
    <w:rsid w:val="6FD93673"/>
    <w:rsid w:val="705F6A24"/>
    <w:rsid w:val="716C339A"/>
    <w:rsid w:val="73E93447"/>
    <w:rsid w:val="74A10225"/>
    <w:rsid w:val="76CD010B"/>
    <w:rsid w:val="789D734B"/>
    <w:rsid w:val="7BA41FDB"/>
    <w:rsid w:val="7C20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420" w:firstLineChars="200"/>
      <w:jc w:val="both"/>
    </w:pPr>
    <w:rPr>
      <w:rFonts w:ascii="Times New Roman" w:hAnsi="Times New Roman" w:eastAsia="宋体" w:cstheme="minorBidi"/>
      <w:kern w:val="2"/>
      <w:sz w:val="21"/>
      <w:lang w:val="en-US" w:eastAsia="zh-CN" w:bidi="ar-SA"/>
    </w:rPr>
  </w:style>
  <w:style w:type="paragraph" w:styleId="2">
    <w:name w:val="heading 1"/>
    <w:basedOn w:val="1"/>
    <w:next w:val="1"/>
    <w:qFormat/>
    <w:uiPriority w:val="0"/>
    <w:pPr>
      <w:keepNext/>
      <w:keepLines/>
      <w:numPr>
        <w:ilvl w:val="0"/>
        <w:numId w:val="1"/>
      </w:numPr>
      <w:spacing w:before="100" w:beforeLines="100" w:after="100" w:afterLines="100"/>
      <w:ind w:firstLine="0" w:firstLineChars="0"/>
      <w:outlineLvl w:val="0"/>
    </w:pPr>
    <w:rPr>
      <w:rFonts w:ascii="黑体" w:hAnsi="黑体" w:eastAsia="黑体" w:cs="黑体"/>
      <w:bCs/>
      <w:kern w:val="44"/>
      <w:szCs w:val="21"/>
    </w:rPr>
  </w:style>
  <w:style w:type="paragraph" w:styleId="3">
    <w:name w:val="heading 2"/>
    <w:basedOn w:val="1"/>
    <w:next w:val="1"/>
    <w:unhideWhenUsed/>
    <w:qFormat/>
    <w:uiPriority w:val="0"/>
    <w:pPr>
      <w:keepNext/>
      <w:keepLines/>
      <w:spacing w:before="50" w:beforeLines="50" w:after="50" w:afterLines="50"/>
      <w:ind w:firstLine="0" w:firstLineChars="0"/>
      <w:outlineLvl w:val="1"/>
    </w:pPr>
    <w:rPr>
      <w:rFonts w:ascii="Arial" w:hAnsi="Arial" w:eastAsia="黑体"/>
    </w:rPr>
  </w:style>
  <w:style w:type="paragraph" w:styleId="4">
    <w:name w:val="heading 3"/>
    <w:basedOn w:val="1"/>
    <w:next w:val="1"/>
    <w:unhideWhenUsed/>
    <w:qFormat/>
    <w:uiPriority w:val="0"/>
    <w:pPr>
      <w:ind w:firstLine="0" w:firstLineChars="0"/>
      <w:jc w:val="left"/>
      <w:outlineLvl w:val="2"/>
    </w:pPr>
    <w:rPr>
      <w:rFonts w:hint="eastAsia" w:ascii="黑体" w:hAnsi="黑体" w:eastAsia="黑体" w:cs="Times New Roman"/>
      <w:kern w:val="0"/>
      <w:szCs w:val="21"/>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cs="Times New Roman"/>
      <w:b/>
      <w:bCs/>
      <w:kern w:val="0"/>
      <w:sz w:val="24"/>
      <w:szCs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cs="Times New Roman"/>
      <w:b/>
      <w:bCs/>
      <w:kern w:val="0"/>
      <w:sz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qFormat/>
    <w:uiPriority w:val="0"/>
    <w:rPr>
      <w:sz w:val="18"/>
      <w:szCs w:val="18"/>
    </w:rPr>
  </w:style>
  <w:style w:type="paragraph" w:styleId="8">
    <w:name w:val="footer"/>
    <w:basedOn w:val="1"/>
    <w:unhideWhenUsed/>
    <w:qFormat/>
    <w:uiPriority w:val="99"/>
    <w:pPr>
      <w:tabs>
        <w:tab w:val="center" w:pos="4153"/>
        <w:tab w:val="center" w:pos="4201"/>
        <w:tab w:val="right" w:pos="8306"/>
        <w:tab w:val="right" w:leader="dot" w:pos="9298"/>
      </w:tabs>
      <w:snapToGrid w:val="0"/>
      <w:jc w:val="left"/>
    </w:pPr>
    <w:rPr>
      <w:sz w:val="18"/>
      <w:szCs w:val="18"/>
    </w:rPr>
  </w:style>
  <w:style w:type="paragraph" w:styleId="9">
    <w:name w:val="header"/>
    <w:basedOn w:val="1"/>
    <w:qFormat/>
    <w:uiPriority w:val="0"/>
    <w:pPr>
      <w:pBdr>
        <w:bottom w:val="single" w:color="auto" w:sz="6" w:space="1"/>
      </w:pBdr>
      <w:tabs>
        <w:tab w:val="center" w:pos="4153"/>
        <w:tab w:val="center" w:pos="4201"/>
        <w:tab w:val="right" w:pos="8306"/>
        <w:tab w:val="right" w:leader="dot" w:pos="9298"/>
      </w:tabs>
      <w:snapToGrid w:val="0"/>
      <w:ind w:firstLine="0" w:firstLineChars="0"/>
      <w:jc w:val="center"/>
    </w:pPr>
    <w:rPr>
      <w:sz w:val="18"/>
    </w:rPr>
  </w:style>
  <w:style w:type="paragraph" w:styleId="10">
    <w:name w:val="toc 1"/>
    <w:basedOn w:val="1"/>
    <w:next w:val="1"/>
    <w:unhideWhenUsed/>
    <w:qFormat/>
    <w:uiPriority w:val="39"/>
    <w:pPr>
      <w:spacing w:before="120" w:after="120"/>
      <w:ind w:firstLine="0" w:firstLineChars="0"/>
      <w:jc w:val="left"/>
    </w:pPr>
    <w:rPr>
      <w:rFonts w:asciiTheme="minorHAnsi" w:hAnsiTheme="minorHAnsi"/>
      <w:bCs/>
      <w:sz w:val="20"/>
    </w:rPr>
  </w:style>
  <w:style w:type="paragraph" w:styleId="11">
    <w:name w:val="toc 2"/>
    <w:basedOn w:val="1"/>
    <w:next w:val="1"/>
    <w:unhideWhenUsed/>
    <w:qFormat/>
    <w:uiPriority w:val="39"/>
    <w:pPr>
      <w:spacing w:before="120"/>
      <w:ind w:left="210"/>
      <w:jc w:val="left"/>
    </w:pPr>
    <w:rPr>
      <w:rFonts w:asciiTheme="minorHAnsi" w:hAnsiTheme="minorHAnsi"/>
      <w:i/>
      <w:iCs/>
      <w:sz w:val="20"/>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Title"/>
    <w:basedOn w:val="1"/>
    <w:next w:val="1"/>
    <w:qFormat/>
    <w:uiPriority w:val="10"/>
    <w:pPr>
      <w:shd w:val="clear" w:color="FFFFFF" w:fill="FFFFFF"/>
      <w:tabs>
        <w:tab w:val="center" w:pos="4201"/>
        <w:tab w:val="right" w:leader="dot" w:pos="9298"/>
      </w:tabs>
      <w:spacing w:before="640" w:after="560"/>
      <w:ind w:firstLine="0"/>
      <w:jc w:val="center"/>
      <w:outlineLvl w:val="0"/>
    </w:pPr>
    <w:rPr>
      <w:rFonts w:eastAsia="黑体" w:cs="宋体"/>
      <w:sz w:val="32"/>
      <w:szCs w:val="32"/>
      <w:lang w:val="zh-CN"/>
    </w:rPr>
  </w:style>
  <w:style w:type="character" w:styleId="16">
    <w:name w:val="Strong"/>
    <w:basedOn w:val="15"/>
    <w:qFormat/>
    <w:uiPriority w:val="0"/>
    <w:rPr>
      <w:b/>
    </w:rPr>
  </w:style>
  <w:style w:type="character" w:styleId="17">
    <w:name w:val="Hyperlink"/>
    <w:basedOn w:val="15"/>
    <w:unhideWhenUsed/>
    <w:qFormat/>
    <w:uiPriority w:val="99"/>
    <w:rPr>
      <w:color w:val="0026E5" w:themeColor="hyperlink"/>
      <w:u w:val="single"/>
      <w14:textFill>
        <w14:solidFill>
          <w14:schemeClr w14:val="hlink"/>
        </w14:solidFill>
      </w14:textFill>
    </w:rPr>
  </w:style>
  <w:style w:type="paragraph" w:customStyle="1" w:styleId="1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
    <w:name w:val="目次、标准名称标题"/>
    <w:basedOn w:val="1"/>
    <w:next w:val="20"/>
    <w:link w:val="36"/>
    <w:qFormat/>
    <w:uiPriority w:val="0"/>
    <w:pPr>
      <w:keepNext/>
      <w:pageBreakBefore/>
      <w:shd w:val="clear" w:color="FFFFFF" w:fill="FFFFFF"/>
      <w:spacing w:before="640" w:after="560" w:line="460" w:lineRule="exact"/>
      <w:ind w:firstLine="0" w:firstLineChars="0"/>
      <w:jc w:val="center"/>
      <w:outlineLvl w:val="0"/>
    </w:pPr>
    <w:rPr>
      <w:rFonts w:ascii="黑体" w:eastAsia="黑体"/>
      <w:sz w:val="32"/>
    </w:rPr>
  </w:style>
  <w:style w:type="paragraph" w:customStyle="1" w:styleId="20">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前言、引言标题"/>
    <w:basedOn w:val="1"/>
    <w:qFormat/>
    <w:uiPriority w:val="0"/>
    <w:pPr>
      <w:tabs>
        <w:tab w:val="center" w:pos="4201"/>
        <w:tab w:val="right" w:leader="dot" w:pos="9298"/>
      </w:tabs>
      <w:ind w:firstLine="0" w:firstLineChars="0"/>
    </w:pPr>
  </w:style>
  <w:style w:type="paragraph" w:customStyle="1" w:styleId="2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23">
    <w:name w:val="MTEquationSection"/>
    <w:basedOn w:val="15"/>
    <w:qFormat/>
    <w:uiPriority w:val="0"/>
    <w:rPr>
      <w:rFonts w:asciiTheme="minorEastAsia" w:hAnsiTheme="minorEastAsia" w:eastAsiaTheme="minorEastAsia" w:cstheme="minorEastAsia"/>
      <w:vanish/>
      <w:color w:val="FF0000"/>
      <w:szCs w:val="21"/>
    </w:rPr>
  </w:style>
  <w:style w:type="paragraph" w:customStyle="1" w:styleId="24">
    <w:name w:val="MTDisplayEquation"/>
    <w:basedOn w:val="1"/>
    <w:next w:val="1"/>
    <w:link w:val="25"/>
    <w:qFormat/>
    <w:uiPriority w:val="0"/>
    <w:pPr>
      <w:tabs>
        <w:tab w:val="center" w:pos="4160"/>
        <w:tab w:val="right" w:pos="8300"/>
      </w:tabs>
      <w:ind w:firstLine="0" w:firstLineChars="0"/>
      <w:jc w:val="center"/>
    </w:pPr>
  </w:style>
  <w:style w:type="character" w:customStyle="1" w:styleId="25">
    <w:name w:val="MTDisplayEquation 字符"/>
    <w:basedOn w:val="15"/>
    <w:link w:val="24"/>
    <w:qFormat/>
    <w:uiPriority w:val="0"/>
    <w:rPr>
      <w:rFonts w:cstheme="minorBidi"/>
      <w:kern w:val="2"/>
      <w:sz w:val="21"/>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styleId="28">
    <w:name w:val="List Paragraph"/>
    <w:basedOn w:val="1"/>
    <w:unhideWhenUsed/>
    <w:qFormat/>
    <w:uiPriority w:val="99"/>
  </w:style>
  <w:style w:type="character" w:customStyle="1" w:styleId="29">
    <w:name w:val="批注框文本 Char"/>
    <w:basedOn w:val="15"/>
    <w:link w:val="7"/>
    <w:qFormat/>
    <w:uiPriority w:val="0"/>
    <w:rPr>
      <w:rFonts w:ascii="Times New Roman" w:hAnsi="Times New Roman" w:eastAsia="宋体"/>
      <w:kern w:val="2"/>
      <w:sz w:val="18"/>
      <w:szCs w:val="18"/>
    </w:rPr>
  </w:style>
  <w:style w:type="character" w:styleId="30">
    <w:name w:val="Placeholder Text"/>
    <w:basedOn w:val="15"/>
    <w:unhideWhenUsed/>
    <w:qFormat/>
    <w:uiPriority w:val="99"/>
    <w:rPr>
      <w:color w:val="808080"/>
    </w:rPr>
  </w:style>
  <w:style w:type="paragraph" w:customStyle="1" w:styleId="31">
    <w:name w:val="章标题"/>
    <w:next w:val="20"/>
    <w:qFormat/>
    <w:uiPriority w:val="0"/>
    <w:pPr>
      <w:numPr>
        <w:ilvl w:val="0"/>
        <w:numId w:val="2"/>
      </w:numPr>
      <w:spacing w:before="100" w:beforeLines="100" w:after="100" w:afterLines="100"/>
      <w:ind w:left="0"/>
      <w:jc w:val="both"/>
      <w:outlineLvl w:val="1"/>
    </w:pPr>
    <w:rPr>
      <w:rFonts w:ascii="黑体" w:hAnsi="黑体" w:eastAsia="黑体" w:cs="Times New Roman"/>
      <w:sz w:val="21"/>
      <w:lang w:val="en-US" w:eastAsia="zh-CN" w:bidi="ar-SA"/>
    </w:rPr>
  </w:style>
  <w:style w:type="paragraph" w:customStyle="1" w:styleId="32">
    <w:name w:val="一级条标题"/>
    <w:next w:val="20"/>
    <w:qFormat/>
    <w:uiPriority w:val="0"/>
    <w:pPr>
      <w:numPr>
        <w:ilvl w:val="1"/>
        <w:numId w:val="2"/>
      </w:numPr>
      <w:spacing w:before="50" w:beforeLines="50" w:after="50" w:afterLines="50"/>
      <w:ind w:left="0"/>
      <w:outlineLvl w:val="2"/>
    </w:pPr>
    <w:rPr>
      <w:rFonts w:ascii="黑体" w:hAnsi="黑体" w:eastAsia="黑体" w:cs="Times New Roman"/>
      <w:sz w:val="21"/>
      <w:szCs w:val="21"/>
      <w:lang w:val="en-US" w:eastAsia="zh-CN" w:bidi="ar-SA"/>
    </w:rPr>
  </w:style>
  <w:style w:type="paragraph" w:customStyle="1" w:styleId="33">
    <w:name w:val="二级无"/>
    <w:basedOn w:val="34"/>
    <w:link w:val="35"/>
    <w:qFormat/>
    <w:uiPriority w:val="0"/>
    <w:pPr>
      <w:spacing w:before="0" w:beforeLines="0" w:after="0" w:afterLines="0"/>
    </w:pPr>
    <w:rPr>
      <w:rFonts w:ascii="宋体" w:eastAsia="宋体"/>
    </w:rPr>
  </w:style>
  <w:style w:type="paragraph" w:customStyle="1" w:styleId="34">
    <w:name w:val="二级条标题"/>
    <w:basedOn w:val="32"/>
    <w:next w:val="20"/>
    <w:qFormat/>
    <w:uiPriority w:val="0"/>
    <w:pPr>
      <w:numPr>
        <w:ilvl w:val="2"/>
      </w:numPr>
      <w:outlineLvl w:val="3"/>
    </w:pPr>
  </w:style>
  <w:style w:type="character" w:customStyle="1" w:styleId="35">
    <w:name w:val="二级无 Char"/>
    <w:link w:val="33"/>
    <w:qFormat/>
    <w:uiPriority w:val="0"/>
    <w:rPr>
      <w:rFonts w:ascii="宋体" w:eastAsia="宋体"/>
    </w:rPr>
  </w:style>
  <w:style w:type="character" w:customStyle="1" w:styleId="36">
    <w:name w:val="目次、标准名称标题 Char"/>
    <w:link w:val="19"/>
    <w:uiPriority w:val="0"/>
    <w:rPr>
      <w:rFonts w:asci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wmf"/><Relationship Id="rId22" Type="http://schemas.openxmlformats.org/officeDocument/2006/relationships/oleObject" Target="embeddings/oleObject3.bin"/><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3.wmf"/><Relationship Id="rId17" Type="http://schemas.openxmlformats.org/officeDocument/2006/relationships/oleObject" Target="embeddings/oleObject1.bin"/><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3148</Words>
  <Characters>3669</Characters>
  <Lines>34</Lines>
  <Paragraphs>9</Paragraphs>
  <TotalTime>10</TotalTime>
  <ScaleCrop>false</ScaleCrop>
  <LinksUpToDate>false</LinksUpToDate>
  <CharactersWithSpaces>3847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2026-04-15T08:17:00Z</dcterms:created>
  <dc:creator>L.ZX</dc:creator>
  <cp:lastModifiedBy>✨嵐</cp:lastModifiedBy>
  <cp:lastPrinted>2026-04-22T01:35:00Z</cp:lastPrinted>
  <dcterms:modified xsi:type="dcterms:W3CDTF">2026-04-24T09:00:33Z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198C8AADCDFF42BF889F04BFBBE0DF54_13</vt:lpwstr>
  </property>
  <property fmtid="{D5CDD505-2E9C-101B-9397-08002B2CF9AE}" pid="4" name="KSOTemplateDocerSaveRecord">
    <vt:lpwstr>eyJoZGlkIjoiMmZhOGFkZTQzYWM5OWEyNDg2NjRkMDFmMTVjMWU1MGUiLCJ1c2VySWQiOiIxMDg0ODYyNzkzIn0=</vt:lpwstr>
  </property>
  <property fmtid="{D5CDD505-2E9C-101B-9397-08002B2CF9AE}" pid="5" name="MTWinEqns">
    <vt:bool>true</vt:bool>
  </property>
  <property fmtid="{D5CDD505-2E9C-101B-9397-08002B2CF9AE}" pid="6" name="MTEquationSection">
    <vt:lpwstr>1</vt:lpwstr>
  </property>
  <property fmtid="{D5CDD505-2E9C-101B-9397-08002B2CF9AE}" pid="7" name="MTEquationNumber2">
    <vt:lpwstr>(#E1)</vt:lpwstr>
  </property>
</Properties>
</file>